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hAnsi="宋体" w:eastAsia="仿宋_GB2312" w:cs="宋体"/>
          <w:kern w:val="0"/>
          <w:sz w:val="30"/>
          <w:szCs w:val="30"/>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仿宋" w:hAnsi="仿宋" w:eastAsia="仿宋" w:cs="宋体"/>
          <w:b/>
          <w:kern w:val="0"/>
          <w:sz w:val="32"/>
          <w:szCs w:val="32"/>
        </w:rPr>
      </w:pPr>
      <w:r>
        <w:rPr>
          <w:rFonts w:hint="eastAsia" w:ascii="华文中宋" w:hAnsi="华文中宋" w:eastAsia="华文中宋" w:cs="宋体"/>
          <w:b/>
          <w:kern w:val="0"/>
          <w:sz w:val="52"/>
          <w:szCs w:val="52"/>
        </w:rPr>
        <w:t xml:space="preserve">      </w:t>
      </w:r>
      <w:r>
        <w:rPr>
          <w:rFonts w:hint="eastAsia" w:ascii="仿宋" w:hAnsi="仿宋" w:eastAsia="仿宋" w:cs="宋体"/>
          <w:b/>
          <w:kern w:val="0"/>
          <w:sz w:val="32"/>
          <w:szCs w:val="32"/>
        </w:rPr>
        <w:t xml:space="preserve"> 新疆财政支出绩效自评报告</w:t>
      </w:r>
    </w:p>
    <w:p>
      <w:pPr>
        <w:spacing w:line="540" w:lineRule="exact"/>
        <w:jc w:val="center"/>
        <w:rPr>
          <w:rFonts w:ascii="仿宋" w:hAnsi="仿宋" w:eastAsia="仿宋" w:cs="宋体"/>
          <w:b/>
          <w:kern w:val="0"/>
          <w:sz w:val="32"/>
          <w:szCs w:val="32"/>
        </w:rPr>
      </w:pPr>
    </w:p>
    <w:p>
      <w:pPr>
        <w:spacing w:line="540" w:lineRule="exact"/>
        <w:jc w:val="center"/>
        <w:rPr>
          <w:rFonts w:ascii="仿宋" w:hAnsi="仿宋" w:eastAsia="仿宋" w:cs="宋体"/>
          <w:kern w:val="0"/>
          <w:sz w:val="32"/>
          <w:szCs w:val="32"/>
        </w:rPr>
      </w:pPr>
      <w:r>
        <w:rPr>
          <w:rFonts w:hint="eastAsia" w:ascii="仿宋" w:hAnsi="仿宋" w:eastAsia="仿宋" w:cs="宋体"/>
          <w:kern w:val="0"/>
          <w:sz w:val="32"/>
          <w:szCs w:val="32"/>
        </w:rPr>
        <w:t>（2018年度）</w:t>
      </w:r>
    </w:p>
    <w:p>
      <w:pPr>
        <w:spacing w:line="540" w:lineRule="exact"/>
        <w:jc w:val="center"/>
        <w:rPr>
          <w:rFonts w:ascii="仿宋" w:hAnsi="仿宋" w:eastAsia="仿宋" w:cs="宋体"/>
          <w:kern w:val="0"/>
          <w:sz w:val="32"/>
          <w:szCs w:val="32"/>
        </w:rPr>
      </w:pPr>
    </w:p>
    <w:p>
      <w:pPr>
        <w:spacing w:line="700" w:lineRule="exact"/>
        <w:ind w:left="3052" w:hanging="3052" w:hangingChars="950"/>
        <w:jc w:val="left"/>
        <w:rPr>
          <w:rFonts w:ascii="仿宋" w:hAnsi="仿宋" w:eastAsia="仿宋" w:cs="宋体"/>
          <w:b/>
          <w:kern w:val="0"/>
          <w:sz w:val="32"/>
          <w:szCs w:val="32"/>
        </w:rPr>
      </w:pPr>
      <w:r>
        <w:rPr>
          <w:rFonts w:hint="eastAsia" w:ascii="仿宋" w:hAnsi="仿宋" w:eastAsia="仿宋" w:cs="宋体"/>
          <w:b/>
          <w:kern w:val="0"/>
          <w:sz w:val="32"/>
          <w:szCs w:val="32"/>
        </w:rPr>
        <w:t>项目名称：塔什库尔干县司法局中央政法转移支付资金办案业务经费</w:t>
      </w:r>
    </w:p>
    <w:p>
      <w:pPr>
        <w:spacing w:line="700" w:lineRule="exact"/>
        <w:jc w:val="left"/>
        <w:rPr>
          <w:rFonts w:ascii="仿宋" w:hAnsi="仿宋" w:eastAsia="仿宋" w:cs="宋体"/>
          <w:b/>
          <w:kern w:val="0"/>
          <w:sz w:val="32"/>
          <w:szCs w:val="32"/>
        </w:rPr>
      </w:pPr>
      <w:r>
        <w:rPr>
          <w:rFonts w:hint="eastAsia" w:ascii="仿宋" w:hAnsi="仿宋" w:eastAsia="仿宋" w:cs="宋体"/>
          <w:b/>
          <w:kern w:val="0"/>
          <w:sz w:val="32"/>
          <w:szCs w:val="32"/>
        </w:rPr>
        <w:t xml:space="preserve">    </w:t>
      </w:r>
    </w:p>
    <w:p>
      <w:pPr>
        <w:spacing w:line="700" w:lineRule="exact"/>
        <w:jc w:val="left"/>
        <w:rPr>
          <w:rFonts w:ascii="仿宋" w:hAnsi="仿宋" w:eastAsia="仿宋" w:cs="宋体"/>
          <w:b/>
          <w:kern w:val="0"/>
          <w:sz w:val="32"/>
          <w:szCs w:val="32"/>
        </w:rPr>
      </w:pPr>
      <w:r>
        <w:rPr>
          <w:rFonts w:hint="eastAsia" w:ascii="仿宋" w:hAnsi="仿宋" w:eastAsia="仿宋" w:cs="宋体"/>
          <w:b/>
          <w:kern w:val="0"/>
          <w:sz w:val="32"/>
          <w:szCs w:val="32"/>
        </w:rPr>
        <w:t xml:space="preserve">     实施单位（公章）：塔什库尔干县司法局</w:t>
      </w:r>
    </w:p>
    <w:p>
      <w:pPr>
        <w:spacing w:line="700" w:lineRule="exact"/>
        <w:ind w:firstLine="758" w:firstLineChars="236"/>
        <w:jc w:val="left"/>
        <w:rPr>
          <w:rFonts w:ascii="仿宋" w:hAnsi="仿宋" w:eastAsia="仿宋" w:cs="宋体"/>
          <w:b/>
          <w:kern w:val="0"/>
          <w:sz w:val="32"/>
          <w:szCs w:val="32"/>
        </w:rPr>
      </w:pPr>
    </w:p>
    <w:p>
      <w:pPr>
        <w:spacing w:line="700" w:lineRule="exact"/>
        <w:ind w:firstLine="758" w:firstLineChars="236"/>
        <w:jc w:val="left"/>
        <w:rPr>
          <w:rFonts w:hint="eastAsia" w:ascii="仿宋" w:hAnsi="仿宋" w:eastAsia="仿宋" w:cs="宋体"/>
          <w:b/>
          <w:kern w:val="0"/>
          <w:sz w:val="32"/>
          <w:szCs w:val="32"/>
          <w:lang w:val="en-US" w:eastAsia="zh-CN"/>
        </w:rPr>
      </w:pPr>
      <w:r>
        <w:rPr>
          <w:rFonts w:hint="eastAsia" w:ascii="仿宋" w:hAnsi="仿宋" w:eastAsia="仿宋" w:cs="宋体"/>
          <w:b/>
          <w:kern w:val="0"/>
          <w:sz w:val="32"/>
          <w:szCs w:val="32"/>
        </w:rPr>
        <w:t>自治区主管部门（公章）：塔什库尔干县</w:t>
      </w:r>
      <w:r>
        <w:rPr>
          <w:rFonts w:hint="eastAsia" w:ascii="仿宋" w:hAnsi="仿宋" w:eastAsia="仿宋" w:cs="宋体"/>
          <w:b/>
          <w:kern w:val="0"/>
          <w:sz w:val="32"/>
          <w:szCs w:val="32"/>
          <w:lang w:eastAsia="zh-CN"/>
        </w:rPr>
        <w:t>人民政府</w:t>
      </w:r>
    </w:p>
    <w:p>
      <w:pPr>
        <w:spacing w:line="700" w:lineRule="exact"/>
        <w:ind w:firstLine="758" w:firstLineChars="236"/>
        <w:jc w:val="left"/>
        <w:rPr>
          <w:rFonts w:ascii="仿宋" w:hAnsi="仿宋" w:eastAsia="仿宋" w:cs="宋体"/>
          <w:b/>
          <w:kern w:val="0"/>
          <w:sz w:val="32"/>
          <w:szCs w:val="32"/>
        </w:rPr>
      </w:pPr>
    </w:p>
    <w:p>
      <w:pPr>
        <w:spacing w:line="700" w:lineRule="exact"/>
        <w:ind w:firstLine="758" w:firstLineChars="236"/>
        <w:jc w:val="left"/>
        <w:rPr>
          <w:rFonts w:ascii="仿宋" w:hAnsi="仿宋" w:eastAsia="仿宋" w:cs="宋体"/>
          <w:b/>
          <w:kern w:val="0"/>
          <w:sz w:val="32"/>
          <w:szCs w:val="32"/>
        </w:rPr>
      </w:pPr>
      <w:r>
        <w:rPr>
          <w:rFonts w:hint="eastAsia" w:ascii="仿宋" w:hAnsi="仿宋" w:eastAsia="仿宋" w:cs="宋体"/>
          <w:b/>
          <w:kern w:val="0"/>
          <w:sz w:val="32"/>
          <w:szCs w:val="32"/>
        </w:rPr>
        <w:t>项目负责人（签章）：司马义·哈力买买提</w:t>
      </w:r>
    </w:p>
    <w:p>
      <w:pPr>
        <w:spacing w:line="700" w:lineRule="exact"/>
        <w:ind w:firstLine="758" w:firstLineChars="236"/>
        <w:jc w:val="left"/>
        <w:rPr>
          <w:rFonts w:ascii="仿宋" w:hAnsi="仿宋" w:eastAsia="仿宋" w:cs="宋体"/>
          <w:b/>
          <w:kern w:val="0"/>
          <w:sz w:val="32"/>
          <w:szCs w:val="32"/>
        </w:rPr>
      </w:pPr>
    </w:p>
    <w:p>
      <w:pPr>
        <w:spacing w:line="700" w:lineRule="exact"/>
        <w:ind w:firstLine="758" w:firstLineChars="236"/>
        <w:jc w:val="left"/>
        <w:rPr>
          <w:rFonts w:ascii="仿宋" w:hAnsi="仿宋" w:eastAsia="仿宋" w:cs="宋体"/>
          <w:b/>
          <w:kern w:val="0"/>
          <w:sz w:val="32"/>
          <w:szCs w:val="32"/>
        </w:rPr>
      </w:pPr>
      <w:r>
        <w:rPr>
          <w:rFonts w:hint="eastAsia" w:ascii="仿宋" w:hAnsi="仿宋" w:eastAsia="仿宋" w:cs="宋体"/>
          <w:b/>
          <w:kern w:val="0"/>
          <w:sz w:val="32"/>
          <w:szCs w:val="32"/>
        </w:rPr>
        <w:t>填报时间：  2018 年  12月 30日</w:t>
      </w:r>
    </w:p>
    <w:p>
      <w:pPr>
        <w:spacing w:line="540" w:lineRule="exact"/>
        <w:rPr>
          <w:rStyle w:val="16"/>
          <w:rFonts w:ascii="仿宋" w:hAnsi="仿宋" w:eastAsia="仿宋"/>
          <w:spacing w:val="-4"/>
          <w:sz w:val="32"/>
          <w:szCs w:val="32"/>
        </w:rPr>
      </w:pPr>
    </w:p>
    <w:p>
      <w:pPr>
        <w:spacing w:line="540" w:lineRule="exact"/>
        <w:rPr>
          <w:rStyle w:val="16"/>
          <w:rFonts w:ascii="仿宋" w:hAnsi="仿宋" w:eastAsia="仿宋"/>
          <w:spacing w:val="-4"/>
          <w:sz w:val="32"/>
          <w:szCs w:val="32"/>
        </w:rPr>
      </w:pPr>
    </w:p>
    <w:p>
      <w:pPr>
        <w:spacing w:line="540" w:lineRule="exact"/>
        <w:rPr>
          <w:rStyle w:val="16"/>
          <w:rFonts w:ascii="仿宋" w:hAnsi="仿宋" w:eastAsia="仿宋"/>
          <w:spacing w:val="-4"/>
          <w:sz w:val="32"/>
          <w:szCs w:val="32"/>
        </w:rPr>
      </w:pPr>
    </w:p>
    <w:p>
      <w:pPr>
        <w:spacing w:line="540" w:lineRule="exact"/>
        <w:rPr>
          <w:rStyle w:val="16"/>
          <w:rFonts w:ascii="仿宋" w:hAnsi="仿宋" w:eastAsia="仿宋"/>
          <w:b w:val="0"/>
          <w:spacing w:val="-4"/>
          <w:sz w:val="32"/>
          <w:szCs w:val="32"/>
        </w:rPr>
      </w:pPr>
    </w:p>
    <w:p>
      <w:pPr>
        <w:spacing w:line="540" w:lineRule="exact"/>
        <w:rPr>
          <w:rStyle w:val="16"/>
          <w:rFonts w:ascii="仿宋" w:hAnsi="仿宋" w:eastAsia="仿宋"/>
          <w:spacing w:val="-4"/>
          <w:sz w:val="32"/>
          <w:szCs w:val="32"/>
        </w:rPr>
      </w:pPr>
    </w:p>
    <w:p>
      <w:pPr>
        <w:spacing w:line="540" w:lineRule="exact"/>
        <w:rPr>
          <w:rStyle w:val="16"/>
          <w:rFonts w:ascii="仿宋" w:hAnsi="仿宋" w:eastAsia="仿宋"/>
          <w:spacing w:val="-4"/>
          <w:sz w:val="32"/>
          <w:szCs w:val="32"/>
        </w:rPr>
      </w:pPr>
      <w:r>
        <w:rPr>
          <w:rStyle w:val="16"/>
          <w:rFonts w:hint="eastAsia" w:ascii="仿宋" w:hAnsi="仿宋" w:eastAsia="仿宋"/>
          <w:spacing w:val="-4"/>
          <w:sz w:val="32"/>
          <w:szCs w:val="32"/>
        </w:rPr>
        <w:t>一、项目概况</w:t>
      </w:r>
    </w:p>
    <w:p>
      <w:pPr>
        <w:spacing w:line="540" w:lineRule="exact"/>
        <w:ind w:firstLine="640"/>
        <w:rPr>
          <w:rStyle w:val="16"/>
          <w:rFonts w:ascii="仿宋" w:hAnsi="仿宋" w:eastAsia="仿宋"/>
          <w:spacing w:val="-4"/>
          <w:sz w:val="32"/>
          <w:szCs w:val="32"/>
        </w:rPr>
      </w:pPr>
      <w:r>
        <w:rPr>
          <w:rStyle w:val="16"/>
          <w:rFonts w:hint="eastAsia" w:ascii="仿宋" w:hAnsi="仿宋" w:eastAsia="仿宋"/>
          <w:spacing w:val="-4"/>
          <w:sz w:val="32"/>
          <w:szCs w:val="32"/>
        </w:rPr>
        <w:t xml:space="preserve">（一）项目单位基本情况  </w:t>
      </w:r>
    </w:p>
    <w:p>
      <w:pPr>
        <w:spacing w:line="360" w:lineRule="auto"/>
        <w:ind w:firstLine="640" w:firstLineChars="200"/>
        <w:rPr>
          <w:rFonts w:ascii="仿宋" w:hAnsi="仿宋" w:eastAsia="仿宋"/>
          <w:sz w:val="32"/>
          <w:szCs w:val="32"/>
        </w:rPr>
      </w:pPr>
      <w:r>
        <w:rPr>
          <w:rFonts w:hint="eastAsia" w:ascii="仿宋" w:hAnsi="仿宋" w:eastAsia="仿宋" w:cs="仿宋_GB2312"/>
          <w:sz w:val="32"/>
          <w:szCs w:val="32"/>
        </w:rPr>
        <w:t>塔什库尔干县司法局位于塔什库尔干塔吉克自治县慕士塔格路，单位性质为行政事业单位，所辖12个乡镇司法所，现有在职干部22人（含乡镇司法所），退休干部16人</w:t>
      </w:r>
    </w:p>
    <w:p>
      <w:pPr>
        <w:spacing w:line="360" w:lineRule="auto"/>
        <w:ind w:firstLine="450" w:firstLineChars="150"/>
        <w:rPr>
          <w:rFonts w:cs="仿宋_GB2312" w:asciiTheme="minorEastAsia" w:hAnsiTheme="minorEastAsia" w:eastAsiaTheme="minorEastAsia"/>
          <w:sz w:val="30"/>
          <w:szCs w:val="30"/>
        </w:rPr>
      </w:pPr>
      <w:r>
        <w:rPr>
          <w:rFonts w:hint="eastAsia" w:cs="仿宋_GB2312" w:asciiTheme="minorEastAsia" w:hAnsiTheme="minorEastAsia" w:eastAsiaTheme="minorEastAsia"/>
          <w:sz w:val="30"/>
          <w:szCs w:val="30"/>
        </w:rPr>
        <w:t xml:space="preserve">主要职能： </w:t>
      </w:r>
    </w:p>
    <w:p>
      <w:pPr>
        <w:spacing w:line="560" w:lineRule="exact"/>
        <w:rPr>
          <w:rFonts w:cs="华文仿宋" w:asciiTheme="minorEastAsia" w:hAnsiTheme="minorEastAsia" w:eastAsiaTheme="minorEastAsia"/>
          <w:sz w:val="30"/>
          <w:szCs w:val="30"/>
        </w:rPr>
      </w:pPr>
      <w:r>
        <w:rPr>
          <w:rFonts w:hint="eastAsia" w:cs="华文仿宋" w:asciiTheme="minorEastAsia" w:hAnsiTheme="minorEastAsia" w:eastAsiaTheme="minorEastAsia"/>
          <w:sz w:val="30"/>
          <w:szCs w:val="30"/>
        </w:rPr>
        <w:t xml:space="preserve">    1、</w:t>
      </w:r>
      <w:r>
        <w:rPr>
          <w:rFonts w:hint="eastAsia" w:cs="华文仿宋" w:asciiTheme="minorEastAsia" w:hAnsiTheme="minorEastAsia" w:eastAsiaTheme="minorEastAsia"/>
          <w:sz w:val="30"/>
          <w:szCs w:val="30"/>
          <w:lang w:val="zh-CN"/>
        </w:rPr>
        <w:t>贯彻执行国家司法行政工作的政策及中长期规划、年度工作要点并组织实施。</w:t>
      </w:r>
    </w:p>
    <w:p>
      <w:pPr>
        <w:spacing w:line="560" w:lineRule="exact"/>
        <w:rPr>
          <w:rFonts w:cs="华文仿宋" w:asciiTheme="minorEastAsia" w:hAnsiTheme="minorEastAsia" w:eastAsiaTheme="minorEastAsia"/>
          <w:sz w:val="30"/>
          <w:szCs w:val="30"/>
        </w:rPr>
      </w:pPr>
      <w:r>
        <w:rPr>
          <w:rFonts w:hint="eastAsia" w:cs="华文仿宋" w:asciiTheme="minorEastAsia" w:hAnsiTheme="minorEastAsia" w:eastAsiaTheme="minorEastAsia"/>
          <w:sz w:val="30"/>
          <w:szCs w:val="30"/>
        </w:rPr>
        <w:t xml:space="preserve">    2、</w:t>
      </w:r>
      <w:r>
        <w:rPr>
          <w:rFonts w:hint="eastAsia" w:cs="华文仿宋" w:asciiTheme="minorEastAsia" w:hAnsiTheme="minorEastAsia" w:eastAsiaTheme="minorEastAsia"/>
          <w:sz w:val="30"/>
          <w:szCs w:val="30"/>
          <w:lang w:val="zh-CN"/>
        </w:rPr>
        <w:t>指导和监督管理全县的公正机构和公证业务活动。</w:t>
      </w:r>
    </w:p>
    <w:p>
      <w:pPr>
        <w:spacing w:line="560" w:lineRule="exact"/>
        <w:rPr>
          <w:rFonts w:cs="华文仿宋" w:asciiTheme="minorEastAsia" w:hAnsiTheme="minorEastAsia" w:eastAsiaTheme="minorEastAsia"/>
          <w:sz w:val="30"/>
          <w:szCs w:val="30"/>
        </w:rPr>
      </w:pPr>
      <w:r>
        <w:rPr>
          <w:rFonts w:hint="eastAsia" w:cs="华文仿宋" w:asciiTheme="minorEastAsia" w:hAnsiTheme="minorEastAsia" w:eastAsiaTheme="minorEastAsia"/>
          <w:sz w:val="30"/>
          <w:szCs w:val="30"/>
        </w:rPr>
        <w:t xml:space="preserve">    3、</w:t>
      </w:r>
      <w:r>
        <w:rPr>
          <w:rFonts w:hint="eastAsia" w:cs="华文仿宋" w:asciiTheme="minorEastAsia" w:hAnsiTheme="minorEastAsia" w:eastAsiaTheme="minorEastAsia"/>
          <w:sz w:val="30"/>
          <w:szCs w:val="30"/>
          <w:lang w:val="zh-CN"/>
        </w:rPr>
        <w:t>管理监督指导全县的律师、法律顾问、法律援助工作。</w:t>
      </w:r>
    </w:p>
    <w:p>
      <w:pPr>
        <w:spacing w:line="560" w:lineRule="exact"/>
        <w:rPr>
          <w:rFonts w:cs="华文仿宋" w:asciiTheme="minorEastAsia" w:hAnsiTheme="minorEastAsia" w:eastAsiaTheme="minorEastAsia"/>
          <w:sz w:val="30"/>
          <w:szCs w:val="30"/>
        </w:rPr>
      </w:pPr>
      <w:r>
        <w:rPr>
          <w:rFonts w:hint="eastAsia" w:cs="华文仿宋" w:asciiTheme="minorEastAsia" w:hAnsiTheme="minorEastAsia" w:eastAsiaTheme="minorEastAsia"/>
          <w:sz w:val="30"/>
          <w:szCs w:val="30"/>
        </w:rPr>
        <w:t xml:space="preserve">    4、</w:t>
      </w:r>
      <w:r>
        <w:rPr>
          <w:rFonts w:hint="eastAsia" w:cs="华文仿宋" w:asciiTheme="minorEastAsia" w:hAnsiTheme="minorEastAsia" w:eastAsiaTheme="minorEastAsia"/>
          <w:sz w:val="30"/>
          <w:szCs w:val="30"/>
          <w:lang w:val="zh-CN"/>
        </w:rPr>
        <w:t>参与制定全县的法治宣传教育、普法及依法治县的规划并组织实施，指导全县各行各业的依法治理工作。</w:t>
      </w:r>
    </w:p>
    <w:p>
      <w:pPr>
        <w:spacing w:line="560" w:lineRule="exact"/>
        <w:rPr>
          <w:rFonts w:cs="华文仿宋" w:asciiTheme="minorEastAsia" w:hAnsiTheme="minorEastAsia" w:eastAsiaTheme="minorEastAsia"/>
          <w:sz w:val="30"/>
          <w:szCs w:val="30"/>
        </w:rPr>
      </w:pPr>
      <w:r>
        <w:rPr>
          <w:rFonts w:hint="eastAsia" w:cs="华文仿宋" w:asciiTheme="minorEastAsia" w:hAnsiTheme="minorEastAsia" w:eastAsiaTheme="minorEastAsia"/>
          <w:sz w:val="30"/>
          <w:szCs w:val="30"/>
        </w:rPr>
        <w:t xml:space="preserve">    5、</w:t>
      </w:r>
      <w:r>
        <w:rPr>
          <w:rFonts w:hint="eastAsia" w:cs="华文仿宋" w:asciiTheme="minorEastAsia" w:hAnsiTheme="minorEastAsia" w:eastAsiaTheme="minorEastAsia"/>
          <w:sz w:val="30"/>
          <w:szCs w:val="30"/>
          <w:lang w:val="zh-CN"/>
        </w:rPr>
        <w:t>指导管理人民调解工作及司法助理员、基层司法所和基层法律服务所工作，组织指导对刑满释放人员和解除劳动教养人员的安置帮教工作。</w:t>
      </w:r>
    </w:p>
    <w:p>
      <w:pPr>
        <w:spacing w:line="560" w:lineRule="exact"/>
        <w:rPr>
          <w:rFonts w:cs="华文仿宋" w:asciiTheme="minorEastAsia" w:hAnsiTheme="minorEastAsia" w:eastAsiaTheme="minorEastAsia"/>
          <w:sz w:val="30"/>
          <w:szCs w:val="30"/>
        </w:rPr>
      </w:pPr>
      <w:r>
        <w:rPr>
          <w:rFonts w:hint="eastAsia" w:cs="华文仿宋" w:asciiTheme="minorEastAsia" w:hAnsiTheme="minorEastAsia" w:eastAsiaTheme="minorEastAsia"/>
          <w:sz w:val="30"/>
          <w:szCs w:val="30"/>
        </w:rPr>
        <w:t xml:space="preserve">    6、</w:t>
      </w:r>
      <w:r>
        <w:rPr>
          <w:rFonts w:hint="eastAsia" w:cs="华文仿宋" w:asciiTheme="minorEastAsia" w:hAnsiTheme="minorEastAsia" w:eastAsiaTheme="minorEastAsia"/>
          <w:sz w:val="30"/>
          <w:szCs w:val="30"/>
          <w:lang w:val="zh-CN"/>
        </w:rPr>
        <w:t>负责司法行政机关党建工作、队伍建设和思想政治工作，指导司法行政干部的培训工作。</w:t>
      </w:r>
    </w:p>
    <w:p>
      <w:pPr>
        <w:spacing w:line="560" w:lineRule="exact"/>
        <w:rPr>
          <w:rFonts w:cs="华文仿宋" w:asciiTheme="minorEastAsia" w:hAnsiTheme="minorEastAsia" w:eastAsiaTheme="minorEastAsia"/>
          <w:sz w:val="30"/>
          <w:szCs w:val="30"/>
        </w:rPr>
      </w:pPr>
      <w:r>
        <w:rPr>
          <w:rFonts w:hint="eastAsia" w:cs="华文仿宋" w:asciiTheme="minorEastAsia" w:hAnsiTheme="minorEastAsia" w:eastAsiaTheme="minorEastAsia"/>
          <w:sz w:val="30"/>
          <w:szCs w:val="30"/>
        </w:rPr>
        <w:t xml:space="preserve">    7、</w:t>
      </w:r>
      <w:r>
        <w:rPr>
          <w:rFonts w:hint="eastAsia" w:cs="华文仿宋" w:asciiTheme="minorEastAsia" w:hAnsiTheme="minorEastAsia" w:eastAsiaTheme="minorEastAsia"/>
          <w:sz w:val="30"/>
          <w:szCs w:val="30"/>
          <w:lang w:val="zh-CN"/>
        </w:rPr>
        <w:t>参与社会治安综合治理工作。</w:t>
      </w:r>
    </w:p>
    <w:p>
      <w:pPr>
        <w:spacing w:line="560" w:lineRule="exact"/>
        <w:ind w:firstLine="600" w:firstLineChars="200"/>
        <w:rPr>
          <w:rFonts w:cs="华文仿宋" w:asciiTheme="minorEastAsia" w:hAnsiTheme="minorEastAsia" w:eastAsiaTheme="minorEastAsia"/>
          <w:sz w:val="30"/>
          <w:szCs w:val="30"/>
          <w:lang w:val="zh-CN"/>
        </w:rPr>
      </w:pPr>
      <w:r>
        <w:rPr>
          <w:rFonts w:hint="eastAsia" w:cs="华文仿宋" w:asciiTheme="minorEastAsia" w:hAnsiTheme="minorEastAsia" w:eastAsiaTheme="minorEastAsia"/>
          <w:sz w:val="30"/>
          <w:szCs w:val="30"/>
        </w:rPr>
        <w:t>8、</w:t>
      </w:r>
      <w:r>
        <w:rPr>
          <w:rFonts w:hint="eastAsia" w:cs="华文仿宋" w:asciiTheme="minorEastAsia" w:hAnsiTheme="minorEastAsia" w:eastAsiaTheme="minorEastAsia"/>
          <w:sz w:val="30"/>
          <w:szCs w:val="30"/>
          <w:lang w:val="zh-CN"/>
        </w:rPr>
        <w:t>参与社区矫正相关工作，履行相关工作程序。</w:t>
      </w:r>
    </w:p>
    <w:p>
      <w:pPr>
        <w:spacing w:line="560" w:lineRule="exact"/>
        <w:ind w:firstLine="640"/>
        <w:rPr>
          <w:rFonts w:cs="华文仿宋" w:asciiTheme="minorEastAsia" w:hAnsiTheme="minorEastAsia" w:eastAsiaTheme="minorEastAsia"/>
          <w:sz w:val="30"/>
          <w:szCs w:val="30"/>
        </w:rPr>
      </w:pPr>
      <w:r>
        <w:rPr>
          <w:rFonts w:hint="eastAsia" w:cs="华文仿宋" w:asciiTheme="minorEastAsia" w:hAnsiTheme="minorEastAsia" w:eastAsiaTheme="minorEastAsia"/>
          <w:sz w:val="30"/>
          <w:szCs w:val="30"/>
        </w:rPr>
        <w:t>9、做好特殊人员法治宣传教育。</w:t>
      </w:r>
    </w:p>
    <w:p>
      <w:pPr>
        <w:spacing w:line="560" w:lineRule="exact"/>
        <w:rPr>
          <w:rFonts w:cs="华文仿宋" w:asciiTheme="minorEastAsia" w:hAnsiTheme="minorEastAsia" w:eastAsiaTheme="minorEastAsia"/>
          <w:sz w:val="30"/>
          <w:szCs w:val="30"/>
          <w:lang w:val="zh-CN"/>
        </w:rPr>
      </w:pPr>
      <w:r>
        <w:rPr>
          <w:rFonts w:hint="eastAsia" w:cs="华文仿宋" w:asciiTheme="minorEastAsia" w:hAnsiTheme="minorEastAsia" w:eastAsiaTheme="minorEastAsia"/>
          <w:sz w:val="30"/>
          <w:szCs w:val="30"/>
        </w:rPr>
        <w:t xml:space="preserve">    10、</w:t>
      </w:r>
      <w:r>
        <w:rPr>
          <w:rFonts w:hint="eastAsia" w:cs="华文仿宋" w:asciiTheme="minorEastAsia" w:hAnsiTheme="minorEastAsia" w:eastAsiaTheme="minorEastAsia"/>
          <w:sz w:val="30"/>
          <w:szCs w:val="30"/>
          <w:lang w:val="zh-CN"/>
        </w:rPr>
        <w:t>承办县委、县人民政府交办的其它工作。</w:t>
      </w:r>
    </w:p>
    <w:p>
      <w:pPr>
        <w:ind w:firstLine="450" w:firstLineChars="150"/>
        <w:rPr>
          <w:rFonts w:cs="黑体" w:asciiTheme="minorEastAsia" w:hAnsiTheme="minorEastAsia" w:eastAsiaTheme="minorEastAsia"/>
          <w:sz w:val="30"/>
          <w:szCs w:val="30"/>
        </w:rPr>
      </w:pPr>
      <w:r>
        <w:rPr>
          <w:rFonts w:hint="eastAsia" w:cs="黑体" w:asciiTheme="minorEastAsia" w:hAnsiTheme="minorEastAsia" w:eastAsiaTheme="minorEastAsia"/>
          <w:sz w:val="30"/>
          <w:szCs w:val="30"/>
        </w:rPr>
        <w:t>二、内设机构</w:t>
      </w:r>
    </w:p>
    <w:p>
      <w:pPr>
        <w:ind w:firstLine="645"/>
        <w:rPr>
          <w:rFonts w:asciiTheme="minorEastAsia" w:hAnsiTheme="minorEastAsia" w:eastAsiaTheme="minorEastAsia"/>
          <w:sz w:val="30"/>
          <w:szCs w:val="30"/>
        </w:rPr>
      </w:pPr>
      <w:r>
        <w:rPr>
          <w:rFonts w:hint="eastAsia" w:asciiTheme="minorEastAsia" w:hAnsiTheme="minorEastAsia" w:eastAsiaTheme="minorEastAsia"/>
          <w:sz w:val="30"/>
          <w:szCs w:val="30"/>
        </w:rPr>
        <w:t>根据上述职责，县司法局内设机构6个职能股室。</w:t>
      </w:r>
    </w:p>
    <w:p>
      <w:pPr>
        <w:numPr>
          <w:ilvl w:val="0"/>
          <w:numId w:val="1"/>
        </w:numPr>
        <w:ind w:firstLine="645"/>
        <w:rPr>
          <w:rFonts w:asciiTheme="minorEastAsia" w:hAnsiTheme="minorEastAsia" w:eastAsiaTheme="minorEastAsia"/>
          <w:sz w:val="30"/>
          <w:szCs w:val="30"/>
        </w:rPr>
      </w:pPr>
      <w:r>
        <w:rPr>
          <w:rFonts w:hint="eastAsia" w:asciiTheme="minorEastAsia" w:hAnsiTheme="minorEastAsia" w:eastAsiaTheme="minorEastAsia"/>
          <w:sz w:val="30"/>
          <w:szCs w:val="30"/>
        </w:rPr>
        <w:t>塔什库尔干县普法依法治县领导小组办公室（宣教办）</w:t>
      </w:r>
    </w:p>
    <w:p>
      <w:pPr>
        <w:ind w:left="705" w:leftChars="50" w:hanging="600" w:hangingChars="200"/>
        <w:rPr>
          <w:rFonts w:asciiTheme="minorEastAsia" w:hAnsiTheme="minorEastAsia" w:eastAsiaTheme="minorEastAsia"/>
          <w:sz w:val="30"/>
          <w:szCs w:val="30"/>
        </w:rPr>
      </w:pPr>
      <w:r>
        <w:rPr>
          <w:rFonts w:hint="eastAsia" w:asciiTheme="minorEastAsia" w:hAnsiTheme="minorEastAsia" w:eastAsiaTheme="minorEastAsia"/>
          <w:sz w:val="30"/>
          <w:szCs w:val="30"/>
        </w:rPr>
        <w:t>负责全县法治宣传教育工作的协调、指导、督促和检查工作。</w:t>
      </w:r>
    </w:p>
    <w:p>
      <w:pPr>
        <w:ind w:left="615" w:leftChars="150" w:hanging="300" w:hangingChars="100"/>
        <w:rPr>
          <w:rFonts w:asciiTheme="minorEastAsia" w:hAnsiTheme="minorEastAsia" w:eastAsiaTheme="minorEastAsia"/>
          <w:sz w:val="30"/>
          <w:szCs w:val="30"/>
        </w:rPr>
      </w:pPr>
      <w:r>
        <w:rPr>
          <w:rFonts w:hint="eastAsia" w:asciiTheme="minorEastAsia" w:hAnsiTheme="minorEastAsia" w:eastAsiaTheme="minorEastAsia"/>
          <w:sz w:val="30"/>
          <w:szCs w:val="30"/>
        </w:rPr>
        <w:t>（二）办公室</w:t>
      </w:r>
    </w:p>
    <w:p>
      <w:pPr>
        <w:ind w:firstLine="640"/>
        <w:rPr>
          <w:rFonts w:cs="Arial" w:asciiTheme="minorEastAsia" w:hAnsiTheme="minorEastAsia" w:eastAsiaTheme="minorEastAsia"/>
          <w:sz w:val="30"/>
          <w:szCs w:val="30"/>
        </w:rPr>
      </w:pPr>
      <w:r>
        <w:rPr>
          <w:rFonts w:hint="eastAsia" w:cs="Arial" w:asciiTheme="minorEastAsia" w:hAnsiTheme="minorEastAsia" w:eastAsiaTheme="minorEastAsia"/>
          <w:sz w:val="30"/>
          <w:szCs w:val="30"/>
        </w:rPr>
        <w:t>负责全县司法行政系统工作的组织实施、协调安排和督查督办；研究拟定全县司法行政工作中长期发展规划和年度工作要点并监督实施；协调各科（室）之间的工作关系。</w:t>
      </w:r>
    </w:p>
    <w:p>
      <w:pPr>
        <w:ind w:firstLine="300" w:firstLineChars="100"/>
        <w:rPr>
          <w:rFonts w:cs="Arial" w:asciiTheme="minorEastAsia" w:hAnsiTheme="minorEastAsia" w:eastAsiaTheme="minorEastAsia"/>
          <w:sz w:val="30"/>
          <w:szCs w:val="30"/>
        </w:rPr>
      </w:pPr>
      <w:r>
        <w:rPr>
          <w:rFonts w:hint="eastAsia" w:cs="Arial" w:asciiTheme="minorEastAsia" w:hAnsiTheme="minorEastAsia" w:eastAsiaTheme="minorEastAsia"/>
          <w:sz w:val="30"/>
          <w:szCs w:val="30"/>
        </w:rPr>
        <w:t>（三）基层办（安置帮教办）</w:t>
      </w:r>
    </w:p>
    <w:p>
      <w:pPr>
        <w:ind w:firstLine="640"/>
        <w:rPr>
          <w:rFonts w:cs="Arial" w:asciiTheme="minorEastAsia" w:hAnsiTheme="minorEastAsia" w:eastAsiaTheme="minorEastAsia"/>
          <w:sz w:val="30"/>
          <w:szCs w:val="30"/>
        </w:rPr>
      </w:pPr>
      <w:r>
        <w:rPr>
          <w:rFonts w:hint="eastAsia" w:cs="Arial" w:asciiTheme="minorEastAsia" w:hAnsiTheme="minorEastAsia" w:eastAsiaTheme="minorEastAsia"/>
          <w:sz w:val="30"/>
          <w:szCs w:val="30"/>
          <w:lang w:val="zh-CN"/>
        </w:rPr>
        <w:t>贯彻执行国家关于人民调解、刑释解教人员安置帮教、基层法律服务工作的法律、法规、政策。</w:t>
      </w:r>
    </w:p>
    <w:p>
      <w:pPr>
        <w:ind w:firstLine="300" w:firstLineChars="100"/>
        <w:rPr>
          <w:rFonts w:cs="Arial" w:asciiTheme="minorEastAsia" w:hAnsiTheme="minorEastAsia" w:eastAsiaTheme="minorEastAsia"/>
          <w:sz w:val="30"/>
          <w:szCs w:val="30"/>
          <w:lang w:val="zh-CN"/>
        </w:rPr>
      </w:pPr>
      <w:r>
        <w:rPr>
          <w:rFonts w:hint="eastAsia" w:cs="Arial" w:asciiTheme="minorEastAsia" w:hAnsiTheme="minorEastAsia" w:eastAsiaTheme="minorEastAsia"/>
          <w:sz w:val="30"/>
          <w:szCs w:val="30"/>
          <w:lang w:val="zh-CN"/>
        </w:rPr>
        <w:t>（四）公证、律师管理办公室</w:t>
      </w:r>
    </w:p>
    <w:p>
      <w:pPr>
        <w:ind w:firstLine="640"/>
        <w:rPr>
          <w:rFonts w:cs="Arial" w:asciiTheme="minorEastAsia" w:hAnsiTheme="minorEastAsia" w:eastAsiaTheme="minorEastAsia"/>
          <w:sz w:val="30"/>
          <w:szCs w:val="30"/>
          <w:lang w:val="zh-CN"/>
        </w:rPr>
      </w:pPr>
      <w:r>
        <w:rPr>
          <w:rFonts w:hint="eastAsia" w:cs="Arial" w:asciiTheme="minorEastAsia" w:hAnsiTheme="minorEastAsia" w:eastAsiaTheme="minorEastAsia"/>
          <w:sz w:val="30"/>
          <w:szCs w:val="30"/>
          <w:lang w:val="zh-CN"/>
        </w:rPr>
        <w:t>督促、指导公证、律师工作和法律顾问工作。负责公证员资格、律师执业资格的年检注册上报工作。</w:t>
      </w:r>
    </w:p>
    <w:p>
      <w:pPr>
        <w:ind w:firstLine="300" w:firstLineChars="100"/>
        <w:rPr>
          <w:rFonts w:cs="Arial" w:asciiTheme="minorEastAsia" w:hAnsiTheme="minorEastAsia" w:eastAsiaTheme="minorEastAsia"/>
          <w:sz w:val="30"/>
          <w:szCs w:val="30"/>
          <w:lang w:val="zh-CN"/>
        </w:rPr>
      </w:pPr>
      <w:r>
        <w:rPr>
          <w:rFonts w:hint="eastAsia" w:cs="Arial" w:asciiTheme="minorEastAsia" w:hAnsiTheme="minorEastAsia" w:eastAsiaTheme="minorEastAsia"/>
          <w:sz w:val="30"/>
          <w:szCs w:val="30"/>
          <w:lang w:val="zh-CN"/>
        </w:rPr>
        <w:t>（五）法律援助中心</w:t>
      </w:r>
    </w:p>
    <w:p>
      <w:pPr>
        <w:ind w:firstLine="640"/>
        <w:rPr>
          <w:rFonts w:cs="Arial" w:asciiTheme="minorEastAsia" w:hAnsiTheme="minorEastAsia" w:eastAsiaTheme="minorEastAsia"/>
          <w:sz w:val="30"/>
          <w:szCs w:val="30"/>
          <w:lang w:val="zh-CN"/>
        </w:rPr>
      </w:pPr>
      <w:r>
        <w:rPr>
          <w:rFonts w:hint="eastAsia" w:cs="Arial" w:asciiTheme="minorEastAsia" w:hAnsiTheme="minorEastAsia" w:eastAsiaTheme="minorEastAsia"/>
          <w:sz w:val="30"/>
          <w:szCs w:val="30"/>
          <w:lang w:val="zh-CN"/>
        </w:rPr>
        <w:t>根据《法律援助条例》负责组织、指导、协调全县法律援助工作；根据上级部署，负责制定全县法律援助的规划并监督实施；受理、审查和批准法律援助申请。</w:t>
      </w:r>
    </w:p>
    <w:p>
      <w:pPr>
        <w:ind w:firstLine="300" w:firstLineChars="100"/>
        <w:rPr>
          <w:rFonts w:cs="Arial" w:asciiTheme="minorEastAsia" w:hAnsiTheme="minorEastAsia" w:eastAsiaTheme="minorEastAsia"/>
          <w:sz w:val="30"/>
          <w:szCs w:val="30"/>
          <w:lang w:val="zh-CN"/>
        </w:rPr>
      </w:pPr>
      <w:r>
        <w:rPr>
          <w:rFonts w:hint="eastAsia" w:cs="Arial" w:asciiTheme="minorEastAsia" w:hAnsiTheme="minorEastAsia" w:eastAsiaTheme="minorEastAsia"/>
          <w:sz w:val="30"/>
          <w:szCs w:val="30"/>
          <w:lang w:val="zh-CN"/>
        </w:rPr>
        <w:t>（六）社区矫正办公室</w:t>
      </w:r>
    </w:p>
    <w:p>
      <w:pPr>
        <w:ind w:firstLine="640"/>
        <w:rPr>
          <w:rFonts w:cs="Arial" w:asciiTheme="minorEastAsia" w:hAnsiTheme="minorEastAsia" w:eastAsiaTheme="minorEastAsia"/>
          <w:sz w:val="30"/>
          <w:szCs w:val="30"/>
          <w:lang w:val="zh-CN"/>
        </w:rPr>
      </w:pPr>
      <w:r>
        <w:rPr>
          <w:rFonts w:hint="eastAsia" w:cs="Arial" w:asciiTheme="minorEastAsia" w:hAnsiTheme="minorEastAsia" w:eastAsiaTheme="minorEastAsia"/>
          <w:sz w:val="30"/>
          <w:szCs w:val="30"/>
        </w:rPr>
        <w:t>贯彻落实上级有关社区矫正的政策和工作部署；研究制定全县社区矫正工作规划；</w:t>
      </w:r>
      <w:r>
        <w:rPr>
          <w:rFonts w:hint="eastAsia" w:cs="Arial" w:asciiTheme="minorEastAsia" w:hAnsiTheme="minorEastAsia" w:eastAsiaTheme="minorEastAsia"/>
          <w:sz w:val="30"/>
          <w:szCs w:val="30"/>
          <w:lang w:val="zh-CN"/>
        </w:rPr>
        <w:t>指导、监督、管理全县社区矫正工作</w:t>
      </w:r>
    </w:p>
    <w:p>
      <w:pPr>
        <w:spacing w:line="540" w:lineRule="exact"/>
        <w:rPr>
          <w:rStyle w:val="16"/>
          <w:rFonts w:ascii="仿宋" w:hAnsi="仿宋" w:eastAsia="仿宋"/>
          <w:spacing w:val="-4"/>
          <w:sz w:val="32"/>
          <w:szCs w:val="32"/>
        </w:rPr>
      </w:pPr>
      <w:r>
        <w:rPr>
          <w:rStyle w:val="16"/>
          <w:rFonts w:hint="eastAsia" w:ascii="仿宋" w:hAnsi="仿宋" w:eastAsia="仿宋"/>
          <w:spacing w:val="-4"/>
          <w:sz w:val="32"/>
          <w:szCs w:val="32"/>
        </w:rPr>
        <w:t>（二）项目预算绩效目标设定情况</w:t>
      </w:r>
    </w:p>
    <w:p>
      <w:pPr>
        <w:spacing w:line="540" w:lineRule="exact"/>
        <w:ind w:firstLine="440" w:firstLineChars="150"/>
        <w:rPr>
          <w:rStyle w:val="16"/>
          <w:rFonts w:asciiTheme="minorEastAsia" w:hAnsiTheme="minorEastAsia" w:eastAsiaTheme="minorEastAsia"/>
          <w:spacing w:val="-4"/>
          <w:sz w:val="30"/>
          <w:szCs w:val="30"/>
        </w:rPr>
      </w:pPr>
      <w:r>
        <w:rPr>
          <w:rStyle w:val="16"/>
          <w:rFonts w:hint="eastAsia" w:asciiTheme="minorEastAsia" w:hAnsiTheme="minorEastAsia" w:eastAsiaTheme="minorEastAsia"/>
          <w:spacing w:val="-4"/>
          <w:sz w:val="30"/>
          <w:szCs w:val="30"/>
        </w:rPr>
        <w:t>1、项目预期目标及阶段性目标设定情况</w:t>
      </w:r>
    </w:p>
    <w:p>
      <w:pPr>
        <w:spacing w:line="540" w:lineRule="exact"/>
        <w:ind w:firstLine="624" w:firstLineChars="200"/>
        <w:rPr>
          <w:rStyle w:val="16"/>
          <w:rFonts w:ascii="仿宋" w:hAnsi="仿宋" w:eastAsia="仿宋"/>
          <w:b w:val="0"/>
          <w:spacing w:val="-4"/>
          <w:sz w:val="32"/>
          <w:szCs w:val="32"/>
        </w:rPr>
      </w:pPr>
      <w:r>
        <w:rPr>
          <w:rStyle w:val="16"/>
          <w:rFonts w:hint="eastAsia" w:ascii="仿宋" w:hAnsi="仿宋" w:eastAsia="仿宋"/>
          <w:b w:val="0"/>
          <w:spacing w:val="-4"/>
          <w:sz w:val="32"/>
          <w:szCs w:val="32"/>
        </w:rPr>
        <w:t>2018年中央政法转移支付办案业务经费主要用于，完成塔什库尔干县司法局2018年，法制宣传教育，</w:t>
      </w:r>
      <w:r>
        <w:rPr>
          <w:rFonts w:hint="eastAsia" w:ascii="仿宋" w:hAnsi="仿宋" w:eastAsia="仿宋" w:cs="宋体"/>
          <w:color w:val="333333"/>
          <w:kern w:val="0"/>
          <w:sz w:val="32"/>
          <w:szCs w:val="32"/>
        </w:rPr>
        <w:t>依法治理工作，人民调解工作，安置帮教工作，社区矫正工作等经费的保障工作。</w:t>
      </w:r>
    </w:p>
    <w:p>
      <w:pPr>
        <w:spacing w:line="540" w:lineRule="exact"/>
        <w:ind w:firstLine="733" w:firstLineChars="250"/>
        <w:rPr>
          <w:rStyle w:val="16"/>
          <w:rFonts w:asciiTheme="minorEastAsia" w:hAnsiTheme="minorEastAsia" w:eastAsiaTheme="minorEastAsia"/>
          <w:spacing w:val="-4"/>
          <w:sz w:val="30"/>
          <w:szCs w:val="30"/>
        </w:rPr>
      </w:pPr>
      <w:r>
        <w:rPr>
          <w:rStyle w:val="16"/>
          <w:rFonts w:hint="eastAsia" w:asciiTheme="minorEastAsia" w:hAnsiTheme="minorEastAsia" w:eastAsiaTheme="minorEastAsia"/>
          <w:spacing w:val="-4"/>
          <w:sz w:val="30"/>
          <w:szCs w:val="30"/>
        </w:rPr>
        <w:t>2、项目基本性质</w:t>
      </w:r>
    </w:p>
    <w:p>
      <w:pPr>
        <w:spacing w:line="540" w:lineRule="exact"/>
        <w:ind w:firstLine="147" w:firstLineChars="50"/>
        <w:rPr>
          <w:rStyle w:val="16"/>
          <w:rFonts w:asciiTheme="minorEastAsia" w:hAnsiTheme="minorEastAsia" w:eastAsiaTheme="minorEastAsia"/>
          <w:spacing w:val="-4"/>
          <w:sz w:val="30"/>
          <w:szCs w:val="30"/>
        </w:rPr>
      </w:pPr>
      <w:r>
        <w:rPr>
          <w:rStyle w:val="16"/>
          <w:rFonts w:hint="eastAsia" w:asciiTheme="minorEastAsia" w:hAnsiTheme="minorEastAsia" w:eastAsiaTheme="minorEastAsia"/>
          <w:spacing w:val="-4"/>
          <w:sz w:val="30"/>
          <w:szCs w:val="30"/>
        </w:rPr>
        <w:t xml:space="preserve">    </w:t>
      </w:r>
      <w:r>
        <w:rPr>
          <w:rStyle w:val="16"/>
          <w:rFonts w:hint="eastAsia" w:asciiTheme="minorEastAsia" w:hAnsiTheme="minorEastAsia" w:eastAsiaTheme="minorEastAsia"/>
          <w:b w:val="0"/>
          <w:spacing w:val="-4"/>
          <w:sz w:val="30"/>
          <w:szCs w:val="30"/>
        </w:rPr>
        <w:t>2018年我单位用于安排</w:t>
      </w:r>
      <w:r>
        <w:rPr>
          <w:rFonts w:hint="eastAsia" w:cs="宋体" w:asciiTheme="minorEastAsia" w:hAnsiTheme="minorEastAsia"/>
          <w:kern w:val="0"/>
          <w:sz w:val="30"/>
          <w:szCs w:val="30"/>
        </w:rPr>
        <w:t>中央政法转移支付办案业务经费项目属于延续性项目。</w:t>
      </w:r>
      <w:r>
        <w:rPr>
          <w:rStyle w:val="16"/>
          <w:rFonts w:hint="eastAsia" w:asciiTheme="minorEastAsia" w:hAnsiTheme="minorEastAsia" w:eastAsiaTheme="minorEastAsia"/>
          <w:spacing w:val="-4"/>
          <w:sz w:val="30"/>
          <w:szCs w:val="30"/>
        </w:rPr>
        <w:t xml:space="preserve">    </w:t>
      </w:r>
    </w:p>
    <w:p>
      <w:pPr>
        <w:spacing w:line="540" w:lineRule="exact"/>
        <w:ind w:firstLine="733" w:firstLineChars="250"/>
        <w:rPr>
          <w:rStyle w:val="16"/>
          <w:rFonts w:asciiTheme="minorEastAsia" w:hAnsiTheme="minorEastAsia" w:eastAsiaTheme="minorEastAsia"/>
          <w:spacing w:val="-4"/>
          <w:sz w:val="30"/>
          <w:szCs w:val="30"/>
        </w:rPr>
      </w:pPr>
      <w:r>
        <w:rPr>
          <w:rStyle w:val="16"/>
          <w:rFonts w:hint="eastAsia" w:asciiTheme="minorEastAsia" w:hAnsiTheme="minorEastAsia" w:eastAsiaTheme="minorEastAsia"/>
          <w:spacing w:val="-4"/>
          <w:sz w:val="30"/>
          <w:szCs w:val="30"/>
        </w:rPr>
        <w:t>3、项目用途及范围</w:t>
      </w:r>
    </w:p>
    <w:p>
      <w:pPr>
        <w:spacing w:line="540" w:lineRule="exact"/>
        <w:ind w:firstLine="624" w:firstLineChars="200"/>
        <w:rPr>
          <w:rStyle w:val="16"/>
          <w:rFonts w:ascii="仿宋" w:hAnsi="仿宋" w:eastAsia="仿宋"/>
          <w:b w:val="0"/>
          <w:spacing w:val="-4"/>
          <w:sz w:val="32"/>
          <w:szCs w:val="32"/>
        </w:rPr>
      </w:pPr>
      <w:r>
        <w:rPr>
          <w:rStyle w:val="16"/>
          <w:rFonts w:hint="eastAsia" w:ascii="仿宋" w:hAnsi="仿宋" w:eastAsia="仿宋"/>
          <w:b w:val="0"/>
          <w:spacing w:val="-4"/>
          <w:sz w:val="32"/>
          <w:szCs w:val="32"/>
        </w:rPr>
        <w:t>2018年中央政法转移支付办案业务经费主要用于，完成塔什库尔干县司法局2018年，法制宣传教育，</w:t>
      </w:r>
      <w:r>
        <w:rPr>
          <w:rFonts w:hint="eastAsia" w:ascii="仿宋" w:hAnsi="仿宋" w:eastAsia="仿宋" w:cs="宋体"/>
          <w:color w:val="333333"/>
          <w:kern w:val="0"/>
          <w:sz w:val="32"/>
          <w:szCs w:val="32"/>
        </w:rPr>
        <w:t>依法治理工作，人民调解工作，安置帮教工作，社区矫正工作等经费的保障工作。</w:t>
      </w:r>
    </w:p>
    <w:p>
      <w:pPr>
        <w:shd w:val="clear" w:color="auto" w:fill="FFFFFF"/>
        <w:ind w:firstLine="470" w:firstLineChars="150"/>
        <w:rPr>
          <w:rStyle w:val="16"/>
          <w:rFonts w:ascii="仿宋" w:hAnsi="仿宋" w:eastAsia="仿宋"/>
          <w:spacing w:val="-4"/>
          <w:sz w:val="32"/>
          <w:szCs w:val="32"/>
        </w:rPr>
      </w:pPr>
      <w:r>
        <w:rPr>
          <w:rStyle w:val="16"/>
          <w:rFonts w:hint="eastAsia" w:ascii="仿宋" w:hAnsi="仿宋" w:eastAsia="仿宋"/>
          <w:spacing w:val="-4"/>
          <w:sz w:val="32"/>
          <w:szCs w:val="32"/>
        </w:rPr>
        <w:t>二、项目资金使用及管理情况</w:t>
      </w:r>
    </w:p>
    <w:p>
      <w:pPr>
        <w:spacing w:line="540" w:lineRule="exact"/>
        <w:ind w:firstLine="157" w:firstLineChars="50"/>
        <w:rPr>
          <w:rStyle w:val="16"/>
          <w:rFonts w:ascii="仿宋" w:hAnsi="仿宋" w:eastAsia="仿宋"/>
          <w:spacing w:val="-4"/>
          <w:sz w:val="32"/>
          <w:szCs w:val="32"/>
        </w:rPr>
      </w:pPr>
      <w:r>
        <w:rPr>
          <w:rStyle w:val="16"/>
          <w:rFonts w:hint="eastAsia" w:ascii="仿宋" w:hAnsi="仿宋" w:eastAsia="仿宋"/>
          <w:spacing w:val="-4"/>
          <w:sz w:val="32"/>
          <w:szCs w:val="32"/>
        </w:rPr>
        <w:t>（一）项目资金安排落实、总投入等情况分析</w:t>
      </w:r>
    </w:p>
    <w:p>
      <w:pPr>
        <w:spacing w:line="540" w:lineRule="exact"/>
        <w:ind w:firstLine="624" w:firstLineChars="200"/>
        <w:rPr>
          <w:rStyle w:val="16"/>
          <w:rFonts w:ascii="仿宋" w:hAnsi="仿宋" w:eastAsia="仿宋"/>
          <w:b w:val="0"/>
          <w:spacing w:val="-4"/>
          <w:sz w:val="32"/>
          <w:szCs w:val="32"/>
        </w:rPr>
      </w:pPr>
      <w:r>
        <w:rPr>
          <w:rStyle w:val="16"/>
          <w:rFonts w:hint="eastAsia" w:ascii="仿宋" w:hAnsi="仿宋" w:eastAsia="仿宋"/>
          <w:b w:val="0"/>
          <w:spacing w:val="-4"/>
          <w:sz w:val="32"/>
          <w:szCs w:val="32"/>
        </w:rPr>
        <w:t>2018年中央政法转移支付办案业务经费主要用于，完成塔什库尔干县司法局2018年，法制宣传教育，</w:t>
      </w:r>
      <w:r>
        <w:rPr>
          <w:rFonts w:hint="eastAsia" w:ascii="仿宋" w:hAnsi="仿宋" w:eastAsia="仿宋" w:cs="宋体"/>
          <w:color w:val="333333"/>
          <w:kern w:val="0"/>
          <w:sz w:val="32"/>
          <w:szCs w:val="32"/>
        </w:rPr>
        <w:t>依法治理工作，人民调解工作，安置帮教工作，社区矫正工作等经费的保障工作。</w:t>
      </w:r>
    </w:p>
    <w:p>
      <w:pPr>
        <w:spacing w:line="540" w:lineRule="exact"/>
        <w:rPr>
          <w:rStyle w:val="16"/>
          <w:rFonts w:ascii="仿宋" w:hAnsi="仿宋" w:eastAsia="仿宋"/>
          <w:spacing w:val="-4"/>
          <w:sz w:val="32"/>
          <w:szCs w:val="32"/>
        </w:rPr>
      </w:pPr>
      <w:r>
        <w:rPr>
          <w:rStyle w:val="16"/>
          <w:rFonts w:hint="eastAsia" w:ascii="仿宋" w:hAnsi="仿宋" w:eastAsia="仿宋"/>
          <w:spacing w:val="-4"/>
          <w:sz w:val="32"/>
          <w:szCs w:val="32"/>
        </w:rPr>
        <w:t>（二）项目资金实际使用情况分析</w:t>
      </w:r>
    </w:p>
    <w:p>
      <w:pPr>
        <w:spacing w:line="540" w:lineRule="exact"/>
        <w:ind w:firstLine="624" w:firstLineChars="200"/>
        <w:rPr>
          <w:rStyle w:val="16"/>
          <w:rFonts w:ascii="仿宋" w:hAnsi="仿宋" w:eastAsia="仿宋"/>
          <w:b w:val="0"/>
          <w:spacing w:val="-4"/>
          <w:sz w:val="32"/>
          <w:szCs w:val="32"/>
        </w:rPr>
      </w:pPr>
      <w:r>
        <w:rPr>
          <w:rStyle w:val="16"/>
          <w:rFonts w:hint="eastAsia" w:ascii="仿宋" w:hAnsi="仿宋" w:eastAsia="仿宋"/>
          <w:b w:val="0"/>
          <w:spacing w:val="-4"/>
          <w:sz w:val="32"/>
          <w:szCs w:val="32"/>
        </w:rPr>
        <w:t>2018年中央政法转移支付资金办案业务经费45万元，根据局机关业务工作情况主要用于法制宣传教育工作方面深入开展法制八进活动，印刷宣传资料印刷费支出2万元，依法治理工作方面，分时段对法宣考试无纸化管理平台进行维护更新，费用支出1.3万元，人民调解工作方面按照要求和标准给乡镇司法所开展业务培训，培训费0.5万元，安置帮教工作方面，对安置帮教干部进行业务培训及产生的培训干部伙食费、培训资料等0.2万元，社区矫正工作方面：社区矫正工作人员的业务工作培训及差旅费、伙食费等的报销0.5万元及分批次对矫正对象的培训工作，给其提供相应的学习用品等0.1万元。其余中央政法转移支付资金办案业务经费40.4万元用于局机关办公耗材，车辆运行维护及干部差旅费报销及其他支出。</w:t>
      </w:r>
    </w:p>
    <w:p>
      <w:pPr>
        <w:spacing w:line="540" w:lineRule="exact"/>
        <w:rPr>
          <w:rStyle w:val="16"/>
          <w:rFonts w:ascii="仿宋" w:hAnsi="仿宋" w:eastAsia="仿宋"/>
          <w:spacing w:val="-4"/>
          <w:sz w:val="32"/>
          <w:szCs w:val="32"/>
        </w:rPr>
      </w:pPr>
      <w:r>
        <w:rPr>
          <w:rStyle w:val="16"/>
          <w:rFonts w:hint="eastAsia" w:ascii="仿宋" w:hAnsi="仿宋" w:eastAsia="仿宋"/>
          <w:spacing w:val="-4"/>
          <w:sz w:val="32"/>
          <w:szCs w:val="32"/>
        </w:rPr>
        <w:t>（三）项目资金管理情况分析</w:t>
      </w:r>
    </w:p>
    <w:p>
      <w:pPr>
        <w:spacing w:line="540" w:lineRule="exact"/>
        <w:ind w:firstLine="624" w:firstLineChars="200"/>
        <w:rPr>
          <w:rStyle w:val="16"/>
          <w:rFonts w:ascii="仿宋" w:hAnsi="仿宋" w:eastAsia="仿宋"/>
          <w:b w:val="0"/>
          <w:spacing w:val="-4"/>
          <w:sz w:val="32"/>
          <w:szCs w:val="32"/>
        </w:rPr>
      </w:pPr>
      <w:r>
        <w:rPr>
          <w:rStyle w:val="16"/>
          <w:rFonts w:hint="eastAsia" w:ascii="仿宋" w:hAnsi="仿宋" w:eastAsia="仿宋"/>
          <w:b w:val="0"/>
          <w:spacing w:val="-4"/>
          <w:sz w:val="32"/>
          <w:szCs w:val="32"/>
        </w:rPr>
        <w:t>2018年中央政法转移支付资金办案业务经费45万元，根据局机关业务工作情况主要用于法制宣传教育工作方面深入开展法制八进活动，印刷宣传资料印刷费支出2万元，依法治理工作方面，分时段对法宣考试无纸化管理平台进行维护更新，费用支出1.3万元，人民调解工作方面按照要求和标准给乡镇司法所开展业务培训，培训费0.5万元，安置帮教工作方面，对安置帮教干部进行业务培训及产生的培训干部伙食费、培训资料等0.2万元，社区矫正工作方面：社区矫正工作人员的业务工作培训及差旅费、伙食费等的报销0.5万元及分批次对矫正对象的培训工作，给其提供相应的学习用品等0.1万元。其余中央政法转移支付资金办案业务经费40.4万元用于局机关办公耗材，车辆运行维护及干部差旅费报销及其他支出，共计45万元，已经全部使用完毕。</w:t>
      </w:r>
    </w:p>
    <w:p>
      <w:pPr>
        <w:spacing w:line="540" w:lineRule="exact"/>
        <w:ind w:firstLine="624" w:firstLineChars="200"/>
        <w:rPr>
          <w:rStyle w:val="16"/>
          <w:rFonts w:ascii="仿宋" w:hAnsi="仿宋" w:eastAsia="仿宋"/>
          <w:b w:val="0"/>
          <w:spacing w:val="-4"/>
          <w:sz w:val="32"/>
          <w:szCs w:val="32"/>
        </w:rPr>
      </w:pPr>
    </w:p>
    <w:p>
      <w:pPr>
        <w:spacing w:line="540" w:lineRule="exact"/>
        <w:ind w:firstLine="313" w:firstLineChars="100"/>
        <w:rPr>
          <w:rStyle w:val="16"/>
          <w:rFonts w:ascii="仿宋" w:hAnsi="仿宋" w:eastAsia="仿宋"/>
          <w:spacing w:val="-4"/>
          <w:sz w:val="32"/>
          <w:szCs w:val="32"/>
        </w:rPr>
      </w:pPr>
      <w:r>
        <w:rPr>
          <w:rStyle w:val="16"/>
          <w:rFonts w:hint="eastAsia" w:ascii="仿宋" w:hAnsi="仿宋" w:eastAsia="仿宋"/>
          <w:spacing w:val="-4"/>
          <w:sz w:val="32"/>
          <w:szCs w:val="32"/>
        </w:rPr>
        <w:t>三、项目组织实施情况</w:t>
      </w:r>
    </w:p>
    <w:p>
      <w:pPr>
        <w:spacing w:line="540" w:lineRule="exact"/>
        <w:ind w:firstLine="712" w:firstLineChars="243"/>
        <w:rPr>
          <w:rStyle w:val="16"/>
          <w:rFonts w:asciiTheme="minorEastAsia" w:hAnsiTheme="minorEastAsia" w:eastAsiaTheme="minorEastAsia"/>
          <w:spacing w:val="-4"/>
          <w:sz w:val="30"/>
          <w:szCs w:val="30"/>
        </w:rPr>
      </w:pPr>
      <w:r>
        <w:rPr>
          <w:rStyle w:val="16"/>
          <w:rFonts w:hint="eastAsia" w:asciiTheme="minorEastAsia" w:hAnsiTheme="minorEastAsia" w:eastAsiaTheme="minorEastAsia"/>
          <w:spacing w:val="-4"/>
          <w:sz w:val="30"/>
          <w:szCs w:val="30"/>
        </w:rPr>
        <w:t>（一）项目组织情况分析</w:t>
      </w:r>
    </w:p>
    <w:p>
      <w:pPr>
        <w:spacing w:line="540" w:lineRule="exact"/>
        <w:ind w:firstLine="709" w:firstLineChars="243"/>
        <w:rPr>
          <w:rStyle w:val="16"/>
          <w:rFonts w:asciiTheme="minorEastAsia" w:hAnsiTheme="minorEastAsia" w:eastAsiaTheme="minorEastAsia"/>
          <w:b w:val="0"/>
          <w:spacing w:val="-4"/>
          <w:sz w:val="30"/>
          <w:szCs w:val="30"/>
        </w:rPr>
      </w:pPr>
      <w:r>
        <w:rPr>
          <w:rStyle w:val="16"/>
          <w:rFonts w:hint="eastAsia" w:asciiTheme="minorEastAsia" w:hAnsiTheme="minorEastAsia" w:eastAsiaTheme="minorEastAsia"/>
          <w:b w:val="0"/>
          <w:spacing w:val="-4"/>
          <w:sz w:val="30"/>
          <w:szCs w:val="30"/>
        </w:rPr>
        <w:t>项目组织情况分析：2018年我单位用于安排</w:t>
      </w:r>
      <w:r>
        <w:rPr>
          <w:rFonts w:hint="eastAsia" w:cs="宋体" w:asciiTheme="minorEastAsia" w:hAnsiTheme="minorEastAsia" w:eastAsiaTheme="minorEastAsia"/>
          <w:kern w:val="0"/>
          <w:sz w:val="30"/>
          <w:szCs w:val="30"/>
        </w:rPr>
        <w:t>中央政法转移支付资金办案业务经费项目严格按照局机关项目组织管理办法细则进行组织实施。</w:t>
      </w:r>
    </w:p>
    <w:p>
      <w:pPr>
        <w:spacing w:line="540" w:lineRule="exact"/>
        <w:ind w:firstLine="733" w:firstLineChars="250"/>
        <w:rPr>
          <w:rStyle w:val="16"/>
          <w:rFonts w:asciiTheme="minorEastAsia" w:hAnsiTheme="minorEastAsia"/>
          <w:spacing w:val="-4"/>
          <w:sz w:val="30"/>
          <w:szCs w:val="30"/>
        </w:rPr>
      </w:pPr>
      <w:r>
        <w:rPr>
          <w:rStyle w:val="16"/>
          <w:rFonts w:hint="eastAsia" w:asciiTheme="minorEastAsia" w:hAnsiTheme="minorEastAsia"/>
          <w:spacing w:val="-4"/>
          <w:sz w:val="30"/>
          <w:szCs w:val="30"/>
        </w:rPr>
        <w:t>（二）项目管理情况分析</w:t>
      </w:r>
    </w:p>
    <w:p>
      <w:pPr>
        <w:spacing w:line="540" w:lineRule="exact"/>
        <w:ind w:left="426"/>
        <w:rPr>
          <w:rStyle w:val="16"/>
          <w:rFonts w:asciiTheme="minorEastAsia" w:hAnsiTheme="minorEastAsia" w:eastAsiaTheme="minorEastAsia"/>
          <w:b w:val="0"/>
          <w:spacing w:val="-4"/>
          <w:sz w:val="30"/>
          <w:szCs w:val="30"/>
        </w:rPr>
      </w:pPr>
      <w:r>
        <w:rPr>
          <w:rStyle w:val="16"/>
          <w:rFonts w:hint="eastAsia" w:asciiTheme="minorEastAsia" w:hAnsiTheme="minorEastAsia" w:eastAsiaTheme="minorEastAsia"/>
          <w:b w:val="0"/>
          <w:spacing w:val="-4"/>
          <w:sz w:val="30"/>
          <w:szCs w:val="30"/>
        </w:rPr>
        <w:t>2018年我单位用于安排</w:t>
      </w:r>
      <w:r>
        <w:rPr>
          <w:rFonts w:hint="eastAsia" w:cs="宋体" w:asciiTheme="minorEastAsia" w:hAnsiTheme="minorEastAsia" w:eastAsiaTheme="minorEastAsia"/>
          <w:kern w:val="0"/>
          <w:sz w:val="30"/>
          <w:szCs w:val="30"/>
        </w:rPr>
        <w:t>中央政法转移支付资金办案业务经费项目，按照办案业务经费使用办法进行使用，严格执行国家相关政策，不存在违规支付。</w:t>
      </w:r>
    </w:p>
    <w:p>
      <w:pPr>
        <w:spacing w:line="540" w:lineRule="exact"/>
        <w:ind w:firstLine="584" w:firstLineChars="200"/>
        <w:rPr>
          <w:rStyle w:val="16"/>
          <w:rFonts w:asciiTheme="minorEastAsia" w:hAnsiTheme="minorEastAsia" w:eastAsiaTheme="minorEastAsia"/>
          <w:b w:val="0"/>
          <w:spacing w:val="-4"/>
          <w:sz w:val="30"/>
          <w:szCs w:val="30"/>
        </w:rPr>
      </w:pPr>
    </w:p>
    <w:p>
      <w:pPr>
        <w:spacing w:line="540" w:lineRule="exact"/>
        <w:rPr>
          <w:rStyle w:val="16"/>
          <w:rFonts w:ascii="仿宋" w:hAnsi="仿宋" w:eastAsia="仿宋"/>
          <w:sz w:val="32"/>
          <w:szCs w:val="32"/>
        </w:rPr>
      </w:pPr>
      <w:r>
        <w:rPr>
          <w:rStyle w:val="16"/>
          <w:rFonts w:hint="eastAsia" w:ascii="仿宋" w:hAnsi="仿宋" w:eastAsia="仿宋"/>
          <w:spacing w:val="-4"/>
          <w:sz w:val="32"/>
          <w:szCs w:val="32"/>
        </w:rPr>
        <w:t>四、项目绩效情况</w:t>
      </w:r>
      <w:r>
        <w:rPr>
          <w:rStyle w:val="16"/>
          <w:rFonts w:hint="eastAsia" w:ascii="仿宋" w:hAnsi="仿宋" w:eastAsia="仿宋"/>
          <w:sz w:val="32"/>
          <w:szCs w:val="32"/>
        </w:rPr>
        <w:t xml:space="preserve"> </w:t>
      </w:r>
    </w:p>
    <w:p>
      <w:pPr>
        <w:spacing w:line="540" w:lineRule="exact"/>
        <w:ind w:firstLine="761" w:firstLineChars="243"/>
        <w:rPr>
          <w:rFonts w:ascii="仿宋" w:hAnsi="仿宋" w:eastAsia="仿宋"/>
          <w:b/>
          <w:spacing w:val="-4"/>
          <w:sz w:val="32"/>
          <w:szCs w:val="32"/>
        </w:rPr>
      </w:pPr>
      <w:r>
        <w:rPr>
          <w:rFonts w:hint="eastAsia" w:ascii="仿宋" w:hAnsi="仿宋" w:eastAsia="仿宋"/>
          <w:b/>
          <w:spacing w:val="-4"/>
          <w:sz w:val="32"/>
          <w:szCs w:val="32"/>
        </w:rPr>
        <w:t>（一）项目绩效目标完成情况分析</w:t>
      </w:r>
    </w:p>
    <w:p>
      <w:pPr>
        <w:spacing w:line="540" w:lineRule="exact"/>
        <w:ind w:firstLine="624" w:firstLineChars="200"/>
        <w:rPr>
          <w:rStyle w:val="16"/>
          <w:rFonts w:ascii="仿宋" w:hAnsi="仿宋" w:eastAsia="仿宋"/>
          <w:b w:val="0"/>
          <w:spacing w:val="-4"/>
          <w:sz w:val="32"/>
          <w:szCs w:val="32"/>
        </w:rPr>
      </w:pPr>
      <w:r>
        <w:rPr>
          <w:rStyle w:val="16"/>
          <w:rFonts w:hint="eastAsia" w:ascii="仿宋" w:hAnsi="仿宋" w:eastAsia="仿宋"/>
          <w:b w:val="0"/>
          <w:spacing w:val="-4"/>
          <w:sz w:val="32"/>
          <w:szCs w:val="32"/>
        </w:rPr>
        <w:t>（将项目支出后的实际状况与申报的绩效目标对比，从项目的经济性、效率性、有益性和可持续性等方面进行量化、具体分析。）</w:t>
      </w:r>
    </w:p>
    <w:p>
      <w:pPr>
        <w:spacing w:line="540" w:lineRule="exact"/>
        <w:ind w:firstLine="640" w:firstLineChars="200"/>
        <w:rPr>
          <w:rStyle w:val="16"/>
          <w:rFonts w:ascii="仿宋" w:hAnsi="仿宋" w:eastAsia="仿宋"/>
          <w:b w:val="0"/>
          <w:sz w:val="32"/>
          <w:szCs w:val="32"/>
        </w:rPr>
      </w:pPr>
      <w:r>
        <w:rPr>
          <w:rStyle w:val="16"/>
          <w:rFonts w:hint="eastAsia" w:ascii="仿宋" w:hAnsi="仿宋" w:eastAsia="仿宋"/>
          <w:b w:val="0"/>
          <w:sz w:val="32"/>
          <w:szCs w:val="32"/>
        </w:rPr>
        <w:t>数量指标指标部分：开展普法宣传活动次数预期为≥6次，实际根据工作开展情况为6次，举办普法培训活动次数≥9次，实际举办普法活动培训活动次数为9次，到乡镇、基层单位进行依法治理工作的检查、指导次数预期为≥指标8次，实际次数为8次，实际完成指标值为8次，调解矛盾纠纷件数预计完成≥28件，实际完成28件，实际完成指标值为28件，安置</w:t>
      </w:r>
      <w:bookmarkStart w:id="0" w:name="_GoBack"/>
      <w:bookmarkEnd w:id="0"/>
      <w:r>
        <w:rPr>
          <w:rStyle w:val="16"/>
          <w:rFonts w:hint="eastAsia" w:ascii="仿宋" w:hAnsi="仿宋" w:eastAsia="仿宋"/>
          <w:b w:val="0"/>
          <w:sz w:val="32"/>
          <w:szCs w:val="32"/>
        </w:rPr>
        <w:t>培训人员数量预期为≥18人，实际完成18人，实际完成指标值为18人，社区矫正对象集中教育、培训人数预期为≥20人，实际完成20人，实际完成指标值为20人，法宣在线无纸化考试平台信息维护预期为≥6次，实际完成6次，实际完成指标值6次，拨付规范化管理费用的基层司法所数量预期为指标≥12个：实际完成指标值为12个</w:t>
      </w:r>
    </w:p>
    <w:p>
      <w:pPr>
        <w:spacing w:line="540" w:lineRule="exact"/>
        <w:ind w:firstLine="645"/>
        <w:rPr>
          <w:rStyle w:val="16"/>
          <w:rFonts w:ascii="仿宋" w:hAnsi="仿宋" w:eastAsia="仿宋"/>
          <w:b w:val="0"/>
          <w:sz w:val="32"/>
          <w:szCs w:val="32"/>
        </w:rPr>
      </w:pPr>
      <w:r>
        <w:rPr>
          <w:rStyle w:val="16"/>
          <w:rFonts w:hint="eastAsia" w:ascii="仿宋" w:hAnsi="仿宋" w:eastAsia="仿宋"/>
          <w:b w:val="0"/>
          <w:sz w:val="32"/>
          <w:szCs w:val="32"/>
        </w:rPr>
        <w:t>质量指标部分：支出完成率，预期指标值为100%，实际完成指标值为100%，普法培训学员合格率预期指标值为 100%，实际完成指标值为100%，矛盾纠纷调解成功件数预期指标值为：≥28件，实际根据所开展矛盾调解工作的数量确定实际完成指标值为28件。</w:t>
      </w:r>
    </w:p>
    <w:p>
      <w:pPr>
        <w:spacing w:line="540" w:lineRule="exact"/>
        <w:ind w:firstLine="645"/>
        <w:rPr>
          <w:rStyle w:val="16"/>
          <w:rFonts w:ascii="仿宋" w:hAnsi="仿宋" w:eastAsia="仿宋"/>
          <w:b w:val="0"/>
          <w:sz w:val="32"/>
          <w:szCs w:val="32"/>
        </w:rPr>
      </w:pPr>
      <w:r>
        <w:rPr>
          <w:rStyle w:val="16"/>
          <w:rFonts w:hint="eastAsia" w:ascii="仿宋" w:hAnsi="仿宋" w:eastAsia="仿宋"/>
          <w:b w:val="0"/>
          <w:sz w:val="32"/>
          <w:szCs w:val="32"/>
        </w:rPr>
        <w:t xml:space="preserve"> 成本指标部分：普法宣传教育预期指标值为≤50000元，实际完成指标值为50000元，依法治理预期指标值为≤20000元，实际完成指标值为20000元，调解矛盾纠纷预期指标值为≤50000元，实际完成指标值为50000元，社区矫正、法律援助，预期指标值为≤60000元，实际完成指标值为60000元，法宣在线预期指标值为≤30000元，实际完成指标值为30000元，规范化管理基层司法所预期指标值为≤240000元，实际完成指标值为240000元。</w:t>
      </w:r>
    </w:p>
    <w:p>
      <w:pPr>
        <w:spacing w:line="540" w:lineRule="exact"/>
        <w:ind w:firstLine="645"/>
        <w:rPr>
          <w:rStyle w:val="16"/>
          <w:rFonts w:ascii="仿宋" w:hAnsi="仿宋" w:eastAsia="仿宋"/>
          <w:b w:val="0"/>
          <w:sz w:val="32"/>
          <w:szCs w:val="32"/>
        </w:rPr>
      </w:pPr>
    </w:p>
    <w:p>
      <w:pPr>
        <w:spacing w:line="540" w:lineRule="exact"/>
        <w:ind w:firstLine="640" w:firstLineChars="200"/>
        <w:rPr>
          <w:rStyle w:val="16"/>
          <w:rFonts w:ascii="仿宋" w:hAnsi="仿宋" w:eastAsia="仿宋"/>
          <w:b w:val="0"/>
          <w:sz w:val="32"/>
          <w:szCs w:val="32"/>
        </w:rPr>
      </w:pPr>
      <w:r>
        <w:rPr>
          <w:rStyle w:val="16"/>
          <w:rFonts w:hint="eastAsia" w:ascii="仿宋" w:hAnsi="仿宋" w:eastAsia="仿宋"/>
          <w:b w:val="0"/>
          <w:sz w:val="32"/>
          <w:szCs w:val="32"/>
        </w:rPr>
        <w:t>社会效益部分：普法覆盖面预期指标值为≥99%，在实际开展工作工程中，实际完成普法覆盖面为99%，处理调解公证员、法律工作者各类投诉案件数量预期指标值为≥0件，实际完成指标值为0件，2018年处理调解公证员、法律工作者各类投诉案件数量为0，普法宣传活动参加人数预期指标值为≥2800人/次，实际完成指标值为2800人/次，社区服刑人员社区矫正期间在犯罪率预期指标值为≤0%，实际完成指标值为0%。</w:t>
      </w:r>
    </w:p>
    <w:p>
      <w:pPr>
        <w:spacing w:line="360" w:lineRule="auto"/>
        <w:ind w:firstLine="645"/>
        <w:rPr>
          <w:rStyle w:val="16"/>
          <w:rFonts w:ascii="仿宋" w:hAnsi="仿宋" w:eastAsia="仿宋"/>
          <w:b w:val="0"/>
          <w:sz w:val="32"/>
          <w:szCs w:val="32"/>
        </w:rPr>
      </w:pPr>
      <w:r>
        <w:rPr>
          <w:rStyle w:val="16"/>
          <w:rFonts w:hint="eastAsia" w:ascii="仿宋" w:hAnsi="仿宋" w:eastAsia="仿宋"/>
          <w:b w:val="0"/>
          <w:sz w:val="32"/>
          <w:szCs w:val="32"/>
        </w:rPr>
        <w:t>满意度部分 ：广大人民群众对法制宣传教育工作的满意度预期指标值为≥90%，实际完成指标值为90%，法制宣传教育工作得到广大人民群众的认可，基层司法所满意度预期值为90%，实际完成值为90%，完成预期目标率为100%，纠纷当事人满意度预期值为≥90%实际完成值为90%，完成目标率为100%，培训人员满意度预期值为≥90%，实际完成指标值为90%，完成预期目标率为100%</w:t>
      </w:r>
    </w:p>
    <w:p>
      <w:pPr>
        <w:spacing w:line="540" w:lineRule="exact"/>
        <w:ind w:firstLine="627" w:firstLineChars="200"/>
        <w:rPr>
          <w:rFonts w:ascii="仿宋" w:hAnsi="仿宋" w:eastAsia="仿宋"/>
          <w:b/>
          <w:spacing w:val="-4"/>
          <w:sz w:val="32"/>
          <w:szCs w:val="32"/>
        </w:rPr>
      </w:pPr>
      <w:r>
        <w:rPr>
          <w:rFonts w:hint="eastAsia" w:ascii="仿宋" w:hAnsi="仿宋" w:eastAsia="仿宋"/>
          <w:b/>
          <w:spacing w:val="-4"/>
          <w:sz w:val="32"/>
          <w:szCs w:val="32"/>
        </w:rPr>
        <w:t>（二）项目绩效目标未完成原因分析</w:t>
      </w:r>
    </w:p>
    <w:p>
      <w:pPr>
        <w:spacing w:line="540" w:lineRule="exact"/>
        <w:ind w:firstLine="624" w:firstLineChars="200"/>
        <w:rPr>
          <w:rStyle w:val="16"/>
          <w:rFonts w:ascii="仿宋" w:hAnsi="仿宋" w:eastAsia="仿宋"/>
          <w:b w:val="0"/>
          <w:spacing w:val="-4"/>
          <w:sz w:val="32"/>
          <w:szCs w:val="32"/>
        </w:rPr>
      </w:pPr>
      <w:r>
        <w:rPr>
          <w:rStyle w:val="16"/>
          <w:rFonts w:hint="eastAsia" w:ascii="仿宋" w:hAnsi="仿宋" w:eastAsia="仿宋"/>
          <w:b w:val="0"/>
          <w:spacing w:val="-4"/>
          <w:sz w:val="32"/>
          <w:szCs w:val="32"/>
        </w:rPr>
        <w:t>2018年中央政法转移支付办案业务经费主要用于，完成塔什库尔干县司法局2018年，法制宣传教育，</w:t>
      </w:r>
      <w:r>
        <w:rPr>
          <w:rFonts w:hint="eastAsia" w:ascii="仿宋" w:hAnsi="仿宋" w:eastAsia="仿宋" w:cs="宋体"/>
          <w:color w:val="333333"/>
          <w:kern w:val="0"/>
          <w:sz w:val="32"/>
          <w:szCs w:val="32"/>
        </w:rPr>
        <w:t>依法治理工作，人民调解工作，安置帮教工作，社区矫正工作等经费的保障工作，此项目已经全部实施完毕。</w:t>
      </w:r>
    </w:p>
    <w:p>
      <w:pPr>
        <w:spacing w:line="540" w:lineRule="exact"/>
        <w:ind w:firstLine="470" w:firstLineChars="150"/>
        <w:rPr>
          <w:rStyle w:val="16"/>
          <w:rFonts w:ascii="仿宋" w:hAnsi="仿宋" w:eastAsia="仿宋"/>
          <w:spacing w:val="-4"/>
          <w:sz w:val="32"/>
          <w:szCs w:val="32"/>
        </w:rPr>
      </w:pPr>
      <w:r>
        <w:rPr>
          <w:rStyle w:val="16"/>
          <w:rFonts w:hint="eastAsia" w:ascii="仿宋" w:hAnsi="仿宋" w:eastAsia="仿宋"/>
          <w:spacing w:val="-4"/>
          <w:sz w:val="32"/>
          <w:szCs w:val="32"/>
        </w:rPr>
        <w:t>五、其他需要说明的问题</w:t>
      </w:r>
    </w:p>
    <w:p>
      <w:pPr>
        <w:spacing w:line="540" w:lineRule="exact"/>
        <w:ind w:firstLine="758" w:firstLineChars="242"/>
        <w:rPr>
          <w:rFonts w:ascii="仿宋" w:hAnsi="仿宋" w:eastAsia="仿宋"/>
          <w:b/>
          <w:spacing w:val="-4"/>
          <w:sz w:val="32"/>
          <w:szCs w:val="32"/>
        </w:rPr>
      </w:pPr>
      <w:r>
        <w:rPr>
          <w:rFonts w:hint="eastAsia" w:ascii="仿宋" w:hAnsi="仿宋" w:eastAsia="仿宋"/>
          <w:b/>
          <w:spacing w:val="-4"/>
          <w:sz w:val="32"/>
          <w:szCs w:val="32"/>
        </w:rPr>
        <w:t>（一）后续工作计划</w:t>
      </w:r>
    </w:p>
    <w:p>
      <w:pPr>
        <w:widowControl/>
        <w:shd w:val="clear" w:color="auto" w:fill="FFFFFF"/>
        <w:jc w:val="center"/>
        <w:rPr>
          <w:rFonts w:ascii="仿宋" w:hAnsi="仿宋" w:eastAsia="仿宋" w:cs="宋体"/>
          <w:color w:val="333333"/>
          <w:kern w:val="0"/>
          <w:sz w:val="32"/>
          <w:szCs w:val="32"/>
        </w:rPr>
      </w:pPr>
      <w:r>
        <w:rPr>
          <w:rFonts w:hint="eastAsia" w:ascii="仿宋" w:hAnsi="仿宋" w:eastAsia="仿宋"/>
          <w:spacing w:val="-4"/>
          <w:sz w:val="32"/>
          <w:szCs w:val="32"/>
        </w:rPr>
        <w:t xml:space="preserve">    在今后的工作中塔什库尔干县司法局将严格按照：政法转移支付资金办案（业务）</w:t>
      </w:r>
      <w:r>
        <w:rPr>
          <w:rFonts w:hint="eastAsia" w:ascii="仿宋" w:hAnsi="仿宋" w:eastAsia="仿宋" w:cs="宋体"/>
          <w:bCs/>
          <w:color w:val="333333"/>
          <w:kern w:val="0"/>
          <w:sz w:val="32"/>
          <w:szCs w:val="32"/>
        </w:rPr>
        <w:t>经费的管理办法的规定使用资金，并加大对资金的监督管理力度，做到专款专用。</w:t>
      </w:r>
    </w:p>
    <w:p>
      <w:pPr>
        <w:spacing w:line="540" w:lineRule="exact"/>
        <w:ind w:firstLine="627" w:firstLineChars="200"/>
        <w:rPr>
          <w:rFonts w:ascii="仿宋" w:hAnsi="仿宋" w:eastAsia="仿宋"/>
          <w:b/>
          <w:spacing w:val="-4"/>
          <w:sz w:val="32"/>
          <w:szCs w:val="32"/>
        </w:rPr>
      </w:pPr>
      <w:r>
        <w:rPr>
          <w:rFonts w:hint="eastAsia" w:ascii="仿宋" w:hAnsi="仿宋" w:eastAsia="仿宋"/>
          <w:b/>
          <w:spacing w:val="-4"/>
          <w:sz w:val="32"/>
          <w:szCs w:val="32"/>
        </w:rPr>
        <w:t>（二）主要经验及做法、存在问题和建议</w:t>
      </w:r>
    </w:p>
    <w:p>
      <w:pPr>
        <w:pStyle w:val="31"/>
        <w:spacing w:line="540" w:lineRule="exact"/>
        <w:ind w:left="660"/>
        <w:rPr>
          <w:rFonts w:ascii="仿宋" w:hAnsi="仿宋" w:eastAsia="仿宋"/>
          <w:spacing w:val="-4"/>
          <w:sz w:val="32"/>
          <w:szCs w:val="32"/>
          <w:lang w:eastAsia="zh-CN"/>
        </w:rPr>
      </w:pPr>
      <w:r>
        <w:rPr>
          <w:rFonts w:hint="eastAsia" w:ascii="仿宋" w:hAnsi="仿宋" w:eastAsia="仿宋"/>
          <w:spacing w:val="-4"/>
          <w:sz w:val="32"/>
          <w:szCs w:val="32"/>
          <w:lang w:eastAsia="zh-CN"/>
        </w:rPr>
        <w:t xml:space="preserve">  1、项目实施过程中的经验总结：加强组织领导，对中央政法转移支付资金办案业务经费的使用局机关党支高度重视，对局机关业务所形成的票据支出严格按照程序审批，金额较大的报局机关党支部会议研究决定后履行后续相关手续。</w:t>
      </w:r>
    </w:p>
    <w:p>
      <w:pPr>
        <w:spacing w:line="540" w:lineRule="exact"/>
        <w:ind w:left="300"/>
        <w:rPr>
          <w:rFonts w:ascii="仿宋" w:hAnsi="仿宋" w:eastAsia="仿宋"/>
          <w:spacing w:val="-4"/>
          <w:sz w:val="32"/>
          <w:szCs w:val="32"/>
        </w:rPr>
      </w:pPr>
      <w:r>
        <w:rPr>
          <w:rFonts w:hint="eastAsia" w:ascii="仿宋" w:hAnsi="仿宋" w:eastAsia="仿宋"/>
          <w:spacing w:val="-4"/>
          <w:sz w:val="32"/>
          <w:szCs w:val="32"/>
        </w:rPr>
        <w:t xml:space="preserve">    2、存在问题</w:t>
      </w:r>
    </w:p>
    <w:p>
      <w:pPr>
        <w:pStyle w:val="31"/>
        <w:spacing w:line="540" w:lineRule="exact"/>
        <w:ind w:left="660"/>
        <w:rPr>
          <w:rFonts w:ascii="仿宋" w:hAnsi="仿宋" w:eastAsia="仿宋"/>
          <w:spacing w:val="-4"/>
          <w:sz w:val="32"/>
          <w:szCs w:val="32"/>
          <w:lang w:eastAsia="zh-CN"/>
        </w:rPr>
      </w:pPr>
      <w:r>
        <w:rPr>
          <w:rFonts w:hint="eastAsia" w:ascii="仿宋" w:hAnsi="仿宋" w:eastAsia="仿宋"/>
          <w:spacing w:val="-4"/>
          <w:sz w:val="32"/>
          <w:szCs w:val="32"/>
          <w:lang w:eastAsia="zh-CN"/>
        </w:rPr>
        <w:t>业务工作方面的支出较少，大部分资金用于局机关日常工作需要。</w:t>
      </w:r>
    </w:p>
    <w:p>
      <w:pPr>
        <w:pStyle w:val="31"/>
        <w:spacing w:line="540" w:lineRule="exact"/>
        <w:ind w:left="660" w:firstLine="156" w:firstLineChars="50"/>
        <w:rPr>
          <w:rFonts w:ascii="仿宋" w:hAnsi="仿宋" w:eastAsia="仿宋"/>
          <w:spacing w:val="-4"/>
          <w:sz w:val="32"/>
          <w:szCs w:val="32"/>
          <w:lang w:eastAsia="zh-CN"/>
        </w:rPr>
      </w:pPr>
      <w:r>
        <w:rPr>
          <w:rFonts w:hint="eastAsia" w:ascii="仿宋" w:hAnsi="仿宋" w:eastAsia="仿宋"/>
          <w:spacing w:val="-4"/>
          <w:sz w:val="32"/>
          <w:szCs w:val="32"/>
          <w:lang w:eastAsia="zh-CN"/>
        </w:rPr>
        <w:t>3、加大对业务工作的支持力度。有效合理利用办公资源，减少日常支出。</w:t>
      </w:r>
    </w:p>
    <w:p>
      <w:pPr>
        <w:pStyle w:val="31"/>
        <w:spacing w:line="540" w:lineRule="exact"/>
        <w:ind w:left="660" w:firstLine="157" w:firstLineChars="50"/>
        <w:rPr>
          <w:rFonts w:ascii="仿宋" w:hAnsi="仿宋" w:eastAsia="仿宋"/>
          <w:b/>
          <w:spacing w:val="-4"/>
          <w:sz w:val="32"/>
          <w:szCs w:val="32"/>
        </w:rPr>
      </w:pPr>
      <w:r>
        <w:rPr>
          <w:rFonts w:hint="eastAsia" w:ascii="仿宋" w:hAnsi="仿宋" w:eastAsia="仿宋"/>
          <w:b/>
          <w:spacing w:val="-4"/>
          <w:sz w:val="32"/>
          <w:szCs w:val="32"/>
        </w:rPr>
        <w:t>（三）其他</w:t>
      </w:r>
    </w:p>
    <w:p>
      <w:pPr>
        <w:spacing w:line="540" w:lineRule="exact"/>
        <w:ind w:firstLine="1379" w:firstLineChars="442"/>
        <w:rPr>
          <w:rFonts w:ascii="仿宋" w:hAnsi="仿宋" w:eastAsia="仿宋"/>
          <w:spacing w:val="-4"/>
          <w:sz w:val="32"/>
          <w:szCs w:val="32"/>
        </w:rPr>
      </w:pPr>
      <w:r>
        <w:rPr>
          <w:rFonts w:hint="eastAsia" w:ascii="仿宋" w:hAnsi="仿宋" w:eastAsia="仿宋"/>
          <w:spacing w:val="-4"/>
          <w:sz w:val="32"/>
          <w:szCs w:val="32"/>
        </w:rPr>
        <w:t>无</w:t>
      </w:r>
    </w:p>
    <w:p>
      <w:pPr>
        <w:spacing w:line="540" w:lineRule="exact"/>
        <w:ind w:firstLine="640"/>
        <w:rPr>
          <w:rStyle w:val="16"/>
          <w:rFonts w:ascii="仿宋" w:hAnsi="仿宋" w:eastAsia="仿宋"/>
          <w:spacing w:val="-4"/>
          <w:sz w:val="32"/>
          <w:szCs w:val="32"/>
        </w:rPr>
      </w:pPr>
      <w:r>
        <w:rPr>
          <w:rStyle w:val="16"/>
          <w:rFonts w:hint="eastAsia" w:ascii="仿宋" w:hAnsi="仿宋" w:eastAsia="仿宋"/>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本次评价通过与实际工作相结合</w:t>
      </w:r>
      <w:r>
        <w:rPr>
          <w:rFonts w:hint="eastAsia" w:ascii="仿宋_GB2312" w:hAnsi="仿宋_GB2312" w:eastAsia="仿宋_GB2312" w:cs="仿宋_GB2312"/>
          <w:kern w:val="0"/>
          <w:sz w:val="32"/>
          <w:szCs w:val="32"/>
        </w:rPr>
        <w:t>，</w:t>
      </w:r>
      <w:r>
        <w:rPr>
          <w:rFonts w:hint="eastAsia" w:ascii="仿宋" w:hAnsi="仿宋" w:eastAsia="仿宋"/>
          <w:spacing w:val="-4"/>
          <w:sz w:val="32"/>
          <w:szCs w:val="32"/>
        </w:rPr>
        <w:t>项目管理过程规范，完成了预期绩效目标。</w:t>
      </w:r>
    </w:p>
    <w:p>
      <w:pPr>
        <w:spacing w:line="540" w:lineRule="exact"/>
        <w:ind w:firstLine="470" w:firstLineChars="150"/>
        <w:rPr>
          <w:rStyle w:val="16"/>
          <w:rFonts w:ascii="仿宋" w:hAnsi="仿宋" w:eastAsia="仿宋"/>
          <w:spacing w:val="-4"/>
          <w:sz w:val="32"/>
          <w:szCs w:val="32"/>
        </w:rPr>
      </w:pPr>
      <w:r>
        <w:rPr>
          <w:rStyle w:val="16"/>
          <w:rFonts w:hint="eastAsia" w:ascii="仿宋" w:hAnsi="仿宋" w:eastAsia="仿宋"/>
          <w:spacing w:val="-4"/>
          <w:sz w:val="32"/>
          <w:szCs w:val="32"/>
        </w:rPr>
        <w:t>七、附表</w:t>
      </w:r>
    </w:p>
    <w:p>
      <w:pPr>
        <w:spacing w:line="540" w:lineRule="exact"/>
        <w:ind w:firstLine="640"/>
        <w:rPr>
          <w:rStyle w:val="16"/>
          <w:rFonts w:ascii="仿宋" w:hAnsi="仿宋" w:eastAsia="仿宋"/>
          <w:b w:val="0"/>
          <w:spacing w:val="-4"/>
          <w:sz w:val="32"/>
          <w:szCs w:val="32"/>
        </w:rPr>
      </w:pPr>
      <w:r>
        <w:rPr>
          <w:rStyle w:val="16"/>
          <w:rFonts w:hint="eastAsia" w:ascii="仿宋" w:hAnsi="仿宋" w:eastAsia="仿宋"/>
          <w:b w:val="0"/>
          <w:spacing w:val="-4"/>
          <w:sz w:val="32"/>
          <w:szCs w:val="32"/>
        </w:rPr>
        <w:t>《项目支出绩效目标自评表》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34084D"/>
    <w:multiLevelType w:val="singleLevel"/>
    <w:tmpl w:val="5734084D"/>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0419B"/>
    <w:rsid w:val="000466D7"/>
    <w:rsid w:val="000817D0"/>
    <w:rsid w:val="000843D3"/>
    <w:rsid w:val="000A3F00"/>
    <w:rsid w:val="000C1F4C"/>
    <w:rsid w:val="001352E4"/>
    <w:rsid w:val="00141119"/>
    <w:rsid w:val="001736B1"/>
    <w:rsid w:val="001A3CA7"/>
    <w:rsid w:val="00246FC9"/>
    <w:rsid w:val="002F1FB5"/>
    <w:rsid w:val="00300582"/>
    <w:rsid w:val="00302F60"/>
    <w:rsid w:val="00323055"/>
    <w:rsid w:val="00326486"/>
    <w:rsid w:val="00392C57"/>
    <w:rsid w:val="003D4E5D"/>
    <w:rsid w:val="003F155D"/>
    <w:rsid w:val="00431D55"/>
    <w:rsid w:val="0044315E"/>
    <w:rsid w:val="00486F53"/>
    <w:rsid w:val="004D45BB"/>
    <w:rsid w:val="004E2CA9"/>
    <w:rsid w:val="005162F1"/>
    <w:rsid w:val="00535153"/>
    <w:rsid w:val="00537661"/>
    <w:rsid w:val="00571E11"/>
    <w:rsid w:val="005B38EA"/>
    <w:rsid w:val="00631EAA"/>
    <w:rsid w:val="00642410"/>
    <w:rsid w:val="00647B62"/>
    <w:rsid w:val="006B7929"/>
    <w:rsid w:val="007863AE"/>
    <w:rsid w:val="0079333C"/>
    <w:rsid w:val="007A2BD9"/>
    <w:rsid w:val="007C325D"/>
    <w:rsid w:val="007C77CB"/>
    <w:rsid w:val="007F5E3C"/>
    <w:rsid w:val="00836A49"/>
    <w:rsid w:val="00855E3A"/>
    <w:rsid w:val="00880255"/>
    <w:rsid w:val="008D7F41"/>
    <w:rsid w:val="00922CB9"/>
    <w:rsid w:val="00937CE3"/>
    <w:rsid w:val="009601A6"/>
    <w:rsid w:val="00A126F7"/>
    <w:rsid w:val="00A23CE1"/>
    <w:rsid w:val="00A26421"/>
    <w:rsid w:val="00A4293B"/>
    <w:rsid w:val="00A80804"/>
    <w:rsid w:val="00A84C34"/>
    <w:rsid w:val="00AC0BA4"/>
    <w:rsid w:val="00AC678E"/>
    <w:rsid w:val="00B41F61"/>
    <w:rsid w:val="00B530C3"/>
    <w:rsid w:val="00B859EE"/>
    <w:rsid w:val="00B9772B"/>
    <w:rsid w:val="00BE07F5"/>
    <w:rsid w:val="00C01CF0"/>
    <w:rsid w:val="00C41CE8"/>
    <w:rsid w:val="00C56C72"/>
    <w:rsid w:val="00C8257D"/>
    <w:rsid w:val="00CA6457"/>
    <w:rsid w:val="00CE327C"/>
    <w:rsid w:val="00D17F2E"/>
    <w:rsid w:val="00D234B1"/>
    <w:rsid w:val="00D25094"/>
    <w:rsid w:val="00D26808"/>
    <w:rsid w:val="00D52E0E"/>
    <w:rsid w:val="00D53363"/>
    <w:rsid w:val="00D642CC"/>
    <w:rsid w:val="00D727A2"/>
    <w:rsid w:val="00D80E97"/>
    <w:rsid w:val="00D8437D"/>
    <w:rsid w:val="00DC2854"/>
    <w:rsid w:val="00DD2D63"/>
    <w:rsid w:val="00E05B35"/>
    <w:rsid w:val="00E16597"/>
    <w:rsid w:val="00E769FE"/>
    <w:rsid w:val="00E87FF9"/>
    <w:rsid w:val="00E95BD5"/>
    <w:rsid w:val="00EA2CBE"/>
    <w:rsid w:val="00EB3680"/>
    <w:rsid w:val="00EC353C"/>
    <w:rsid w:val="00ED042F"/>
    <w:rsid w:val="00ED1AE7"/>
    <w:rsid w:val="00F15CEE"/>
    <w:rsid w:val="00F32FEE"/>
    <w:rsid w:val="00F34D96"/>
    <w:rsid w:val="00FB78F7"/>
    <w:rsid w:val="00FF0B8E"/>
    <w:rsid w:val="0FDE06B1"/>
    <w:rsid w:val="5B4E0A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0"/>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2"/>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3"/>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4"/>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5"/>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6"/>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7"/>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5">
    <w:name w:val="Default Paragraph Font"/>
    <w:semiHidden/>
    <w:unhideWhenUsed/>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11">
    <w:name w:val="footer"/>
    <w:basedOn w:val="1"/>
    <w:link w:val="43"/>
    <w:unhideWhenUsed/>
    <w:qFormat/>
    <w:uiPriority w:val="99"/>
    <w:pPr>
      <w:tabs>
        <w:tab w:val="center" w:pos="4153"/>
        <w:tab w:val="right" w:pos="8306"/>
      </w:tabs>
      <w:snapToGrid w:val="0"/>
      <w:jc w:val="left"/>
    </w:pPr>
    <w:rPr>
      <w:rFonts w:ascii="Calibri" w:hAnsi="Calibri"/>
      <w:sz w:val="18"/>
      <w:szCs w:val="18"/>
    </w:rPr>
  </w:style>
  <w:style w:type="paragraph" w:styleId="12">
    <w:name w:val="header"/>
    <w:basedOn w:val="1"/>
    <w:link w:val="42"/>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3">
    <w:name w:val="Subtitle"/>
    <w:basedOn w:val="1"/>
    <w:next w:val="1"/>
    <w:link w:val="29"/>
    <w:qFormat/>
    <w:uiPriority w:val="11"/>
    <w:pPr>
      <w:widowControl/>
      <w:spacing w:after="60"/>
      <w:jc w:val="center"/>
      <w:outlineLvl w:val="1"/>
    </w:pPr>
    <w:rPr>
      <w:rFonts w:asciiTheme="majorHAnsi" w:hAnsiTheme="majorHAnsi" w:eastAsiaTheme="majorEastAsia"/>
      <w:kern w:val="0"/>
      <w:sz w:val="24"/>
    </w:rPr>
  </w:style>
  <w:style w:type="paragraph" w:styleId="14">
    <w:name w:val="Title"/>
    <w:basedOn w:val="1"/>
    <w:next w:val="1"/>
    <w:link w:val="28"/>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6">
    <w:name w:val="Strong"/>
    <w:basedOn w:val="15"/>
    <w:qFormat/>
    <w:uiPriority w:val="0"/>
    <w:rPr>
      <w:b/>
      <w:bCs/>
    </w:rPr>
  </w:style>
  <w:style w:type="character" w:styleId="17">
    <w:name w:val="Emphasis"/>
    <w:basedOn w:val="15"/>
    <w:qFormat/>
    <w:uiPriority w:val="20"/>
    <w:rPr>
      <w:rFonts w:asciiTheme="minorHAnsi" w:hAnsiTheme="minorHAnsi"/>
      <w:b/>
      <w:i/>
      <w:iCs/>
    </w:rPr>
  </w:style>
  <w:style w:type="character" w:customStyle="1" w:styleId="19">
    <w:name w:val="标题 1 Char"/>
    <w:basedOn w:val="15"/>
    <w:link w:val="2"/>
    <w:qFormat/>
    <w:uiPriority w:val="9"/>
    <w:rPr>
      <w:rFonts w:asciiTheme="majorHAnsi" w:hAnsiTheme="majorHAnsi" w:eastAsiaTheme="majorEastAsia"/>
      <w:b/>
      <w:bCs/>
      <w:kern w:val="32"/>
      <w:sz w:val="32"/>
      <w:szCs w:val="32"/>
    </w:rPr>
  </w:style>
  <w:style w:type="character" w:customStyle="1" w:styleId="20">
    <w:name w:val="标题 2 Char"/>
    <w:basedOn w:val="15"/>
    <w:link w:val="3"/>
    <w:semiHidden/>
    <w:qFormat/>
    <w:uiPriority w:val="9"/>
    <w:rPr>
      <w:rFonts w:asciiTheme="majorHAnsi" w:hAnsiTheme="majorHAnsi" w:eastAsiaTheme="majorEastAsia"/>
      <w:b/>
      <w:bCs/>
      <w:i/>
      <w:iCs/>
      <w:sz w:val="28"/>
      <w:szCs w:val="28"/>
    </w:rPr>
  </w:style>
  <w:style w:type="character" w:customStyle="1" w:styleId="21">
    <w:name w:val="标题 3 Char"/>
    <w:basedOn w:val="15"/>
    <w:link w:val="4"/>
    <w:semiHidden/>
    <w:qFormat/>
    <w:uiPriority w:val="9"/>
    <w:rPr>
      <w:rFonts w:asciiTheme="majorHAnsi" w:hAnsiTheme="majorHAnsi" w:eastAsiaTheme="majorEastAsia"/>
      <w:b/>
      <w:bCs/>
      <w:sz w:val="26"/>
      <w:szCs w:val="26"/>
    </w:rPr>
  </w:style>
  <w:style w:type="character" w:customStyle="1" w:styleId="22">
    <w:name w:val="标题 4 Char"/>
    <w:basedOn w:val="15"/>
    <w:link w:val="5"/>
    <w:semiHidden/>
    <w:qFormat/>
    <w:uiPriority w:val="9"/>
    <w:rPr>
      <w:b/>
      <w:bCs/>
      <w:sz w:val="28"/>
      <w:szCs w:val="28"/>
    </w:rPr>
  </w:style>
  <w:style w:type="character" w:customStyle="1" w:styleId="23">
    <w:name w:val="标题 5 Char"/>
    <w:basedOn w:val="15"/>
    <w:link w:val="6"/>
    <w:semiHidden/>
    <w:qFormat/>
    <w:uiPriority w:val="9"/>
    <w:rPr>
      <w:b/>
      <w:bCs/>
      <w:i/>
      <w:iCs/>
      <w:sz w:val="26"/>
      <w:szCs w:val="26"/>
    </w:rPr>
  </w:style>
  <w:style w:type="character" w:customStyle="1" w:styleId="24">
    <w:name w:val="标题 6 Char"/>
    <w:basedOn w:val="15"/>
    <w:link w:val="7"/>
    <w:semiHidden/>
    <w:qFormat/>
    <w:uiPriority w:val="9"/>
    <w:rPr>
      <w:b/>
      <w:bCs/>
    </w:rPr>
  </w:style>
  <w:style w:type="character" w:customStyle="1" w:styleId="25">
    <w:name w:val="标题 7 Char"/>
    <w:basedOn w:val="15"/>
    <w:link w:val="8"/>
    <w:semiHidden/>
    <w:qFormat/>
    <w:uiPriority w:val="9"/>
    <w:rPr>
      <w:sz w:val="24"/>
      <w:szCs w:val="24"/>
    </w:rPr>
  </w:style>
  <w:style w:type="character" w:customStyle="1" w:styleId="26">
    <w:name w:val="标题 8 Char"/>
    <w:basedOn w:val="15"/>
    <w:link w:val="9"/>
    <w:semiHidden/>
    <w:qFormat/>
    <w:uiPriority w:val="9"/>
    <w:rPr>
      <w:i/>
      <w:iCs/>
      <w:sz w:val="24"/>
      <w:szCs w:val="24"/>
    </w:rPr>
  </w:style>
  <w:style w:type="character" w:customStyle="1" w:styleId="27">
    <w:name w:val="标题 9 Char"/>
    <w:basedOn w:val="15"/>
    <w:link w:val="10"/>
    <w:semiHidden/>
    <w:uiPriority w:val="9"/>
    <w:rPr>
      <w:rFonts w:asciiTheme="majorHAnsi" w:hAnsiTheme="majorHAnsi" w:eastAsiaTheme="majorEastAsia"/>
    </w:rPr>
  </w:style>
  <w:style w:type="character" w:customStyle="1" w:styleId="28">
    <w:name w:val="标题 Char"/>
    <w:basedOn w:val="15"/>
    <w:link w:val="14"/>
    <w:uiPriority w:val="10"/>
    <w:rPr>
      <w:rFonts w:asciiTheme="majorHAnsi" w:hAnsiTheme="majorHAnsi" w:eastAsiaTheme="majorEastAsia"/>
      <w:b/>
      <w:bCs/>
      <w:kern w:val="28"/>
      <w:sz w:val="32"/>
      <w:szCs w:val="32"/>
    </w:rPr>
  </w:style>
  <w:style w:type="character" w:customStyle="1" w:styleId="29">
    <w:name w:val="副标题 Char"/>
    <w:basedOn w:val="15"/>
    <w:link w:val="13"/>
    <w:uiPriority w:val="11"/>
    <w:rPr>
      <w:rFonts w:asciiTheme="majorHAnsi" w:hAnsiTheme="majorHAnsi" w:eastAsiaTheme="majorEastAsia"/>
      <w:sz w:val="24"/>
      <w:szCs w:val="24"/>
    </w:rPr>
  </w:style>
  <w:style w:type="paragraph" w:styleId="30">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1">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2">
    <w:name w:val="Quote"/>
    <w:basedOn w:val="1"/>
    <w:next w:val="1"/>
    <w:link w:val="33"/>
    <w:qFormat/>
    <w:uiPriority w:val="29"/>
    <w:pPr>
      <w:widowControl/>
      <w:jc w:val="left"/>
    </w:pPr>
    <w:rPr>
      <w:rFonts w:asciiTheme="minorHAnsi" w:hAnsiTheme="minorHAnsi" w:eastAsiaTheme="minorEastAsia"/>
      <w:i/>
      <w:kern w:val="0"/>
      <w:sz w:val="24"/>
    </w:rPr>
  </w:style>
  <w:style w:type="character" w:customStyle="1" w:styleId="33">
    <w:name w:val="引用 Char"/>
    <w:basedOn w:val="15"/>
    <w:link w:val="32"/>
    <w:uiPriority w:val="29"/>
    <w:rPr>
      <w:i/>
      <w:sz w:val="24"/>
      <w:szCs w:val="24"/>
    </w:rPr>
  </w:style>
  <w:style w:type="paragraph" w:styleId="34">
    <w:name w:val="Intense Quote"/>
    <w:basedOn w:val="1"/>
    <w:next w:val="1"/>
    <w:link w:val="35"/>
    <w:qFormat/>
    <w:uiPriority w:val="30"/>
    <w:pPr>
      <w:widowControl/>
      <w:ind w:left="720" w:right="720"/>
      <w:jc w:val="left"/>
    </w:pPr>
    <w:rPr>
      <w:rFonts w:asciiTheme="minorHAnsi" w:hAnsiTheme="minorHAnsi" w:eastAsiaTheme="minorEastAsia"/>
      <w:b/>
      <w:i/>
      <w:kern w:val="0"/>
      <w:sz w:val="24"/>
      <w:szCs w:val="22"/>
    </w:rPr>
  </w:style>
  <w:style w:type="character" w:customStyle="1" w:styleId="35">
    <w:name w:val="明显引用 Char"/>
    <w:basedOn w:val="15"/>
    <w:link w:val="34"/>
    <w:uiPriority w:val="30"/>
    <w:rPr>
      <w:b/>
      <w:i/>
      <w:sz w:val="24"/>
    </w:rPr>
  </w:style>
  <w:style w:type="character" w:customStyle="1" w:styleId="36">
    <w:name w:val="Subtle Emphasis"/>
    <w:qFormat/>
    <w:uiPriority w:val="19"/>
    <w:rPr>
      <w:i/>
      <w:color w:val="595959" w:themeColor="text1" w:themeTint="A5"/>
    </w:rPr>
  </w:style>
  <w:style w:type="character" w:customStyle="1" w:styleId="37">
    <w:name w:val="Intense Emphasis"/>
    <w:basedOn w:val="15"/>
    <w:qFormat/>
    <w:uiPriority w:val="21"/>
    <w:rPr>
      <w:b/>
      <w:i/>
      <w:sz w:val="24"/>
      <w:szCs w:val="24"/>
      <w:u w:val="single"/>
    </w:rPr>
  </w:style>
  <w:style w:type="character" w:customStyle="1" w:styleId="38">
    <w:name w:val="Subtle Reference"/>
    <w:basedOn w:val="15"/>
    <w:qFormat/>
    <w:uiPriority w:val="31"/>
    <w:rPr>
      <w:sz w:val="24"/>
      <w:szCs w:val="24"/>
      <w:u w:val="single"/>
    </w:rPr>
  </w:style>
  <w:style w:type="character" w:customStyle="1" w:styleId="39">
    <w:name w:val="Intense Reference"/>
    <w:basedOn w:val="15"/>
    <w:qFormat/>
    <w:uiPriority w:val="32"/>
    <w:rPr>
      <w:b/>
      <w:sz w:val="24"/>
      <w:u w:val="single"/>
    </w:rPr>
  </w:style>
  <w:style w:type="character" w:customStyle="1" w:styleId="40">
    <w:name w:val="Book Title"/>
    <w:basedOn w:val="15"/>
    <w:qFormat/>
    <w:uiPriority w:val="33"/>
    <w:rPr>
      <w:rFonts w:asciiTheme="majorHAnsi" w:hAnsiTheme="majorHAnsi" w:eastAsiaTheme="majorEastAsia"/>
      <w:b/>
      <w:i/>
      <w:sz w:val="24"/>
      <w:szCs w:val="24"/>
    </w:rPr>
  </w:style>
  <w:style w:type="paragraph" w:customStyle="1" w:styleId="41">
    <w:name w:val="TOC Heading"/>
    <w:basedOn w:val="2"/>
    <w:next w:val="1"/>
    <w:semiHidden/>
    <w:unhideWhenUsed/>
    <w:qFormat/>
    <w:uiPriority w:val="39"/>
    <w:pPr>
      <w:outlineLvl w:val="9"/>
    </w:pPr>
    <w:rPr>
      <w:lang w:eastAsia="en-US" w:bidi="en-US"/>
    </w:rPr>
  </w:style>
  <w:style w:type="character" w:customStyle="1" w:styleId="42">
    <w:name w:val="页眉 Char"/>
    <w:basedOn w:val="15"/>
    <w:link w:val="12"/>
    <w:uiPriority w:val="99"/>
    <w:rPr>
      <w:rFonts w:ascii="Calibri" w:hAnsi="Calibri" w:eastAsia="宋体"/>
      <w:kern w:val="2"/>
      <w:sz w:val="18"/>
      <w:szCs w:val="18"/>
    </w:rPr>
  </w:style>
  <w:style w:type="character" w:customStyle="1" w:styleId="43">
    <w:name w:val="页脚 Char"/>
    <w:basedOn w:val="15"/>
    <w:link w:val="11"/>
    <w:uiPriority w:val="99"/>
    <w:rPr>
      <w:rFonts w:ascii="Calibri" w:hAnsi="Calibri"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3F957E-48B3-44BA-BDD6-12AF5FDCC54E}">
  <ds:schemaRefs/>
</ds:datastoreItem>
</file>

<file path=docProps/app.xml><?xml version="1.0" encoding="utf-8"?>
<Properties xmlns="http://schemas.openxmlformats.org/officeDocument/2006/extended-properties" xmlns:vt="http://schemas.openxmlformats.org/officeDocument/2006/docPropsVTypes">
  <Template>Normal</Template>
  <Pages>1</Pages>
  <Words>586</Words>
  <Characters>3343</Characters>
  <Lines>27</Lines>
  <Paragraphs>7</Paragraphs>
  <TotalTime>0</TotalTime>
  <ScaleCrop>false</ScaleCrop>
  <LinksUpToDate>false</LinksUpToDate>
  <CharactersWithSpaces>3922</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2019-09-19T04:47:00Z</cp:lastPrinted>
  <dcterms:modified xsi:type="dcterms:W3CDTF">2019-09-22T09:57:51Z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